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AE63" w14:textId="77777777" w:rsidR="00312EB4" w:rsidRDefault="00CB359E">
      <w:pPr>
        <w:shd w:val="clear" w:color="auto" w:fill="FFFFFF"/>
        <w:spacing w:after="90" w:line="389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2"/>
          <w:sz w:val="38"/>
          <w:szCs w:val="38"/>
          <w:lang w:eastAsia="es-ES"/>
        </w:rPr>
      </w:pPr>
      <w:r>
        <w:rPr>
          <w:noProof/>
        </w:rPr>
        <w:drawing>
          <wp:inline distT="0" distB="0" distL="0" distR="0" wp14:anchorId="3589AEF2" wp14:editId="3589AEF3">
            <wp:extent cx="4276725" cy="10668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9AE64" w14:textId="77777777" w:rsidR="00312EB4" w:rsidRPr="001E4724" w:rsidRDefault="00CB359E" w:rsidP="001E4724">
      <w:pPr>
        <w:shd w:val="clear" w:color="auto" w:fill="FFFFFF"/>
        <w:spacing w:after="90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2"/>
          <w:sz w:val="38"/>
          <w:szCs w:val="38"/>
          <w:lang w:eastAsia="es-ES"/>
        </w:rPr>
      </w:pPr>
      <w:r w:rsidRPr="001E4724">
        <w:rPr>
          <w:rFonts w:ascii="Arial" w:eastAsia="Times New Roman" w:hAnsi="Arial" w:cs="Arial"/>
          <w:b/>
          <w:bCs/>
          <w:kern w:val="2"/>
          <w:sz w:val="38"/>
          <w:szCs w:val="38"/>
          <w:lang w:eastAsia="es-ES"/>
        </w:rPr>
        <w:t>Clínica II: Teorías y técnicas de las intervenciones</w:t>
      </w:r>
    </w:p>
    <w:p w14:paraId="3589AE65" w14:textId="77777777" w:rsidR="00312EB4" w:rsidRPr="001E4724" w:rsidRDefault="00CB359E" w:rsidP="001E4724">
      <w:pPr>
        <w:rPr>
          <w:rFonts w:ascii="Arial" w:hAnsi="Arial" w:cs="Arial"/>
        </w:rPr>
      </w:pPr>
      <w:r w:rsidRPr="001E4724">
        <w:rPr>
          <w:rFonts w:ascii="Arial" w:hAnsi="Arial" w:cs="Arial"/>
        </w:rPr>
        <w:t xml:space="preserve">Docentes: </w:t>
      </w:r>
    </w:p>
    <w:p w14:paraId="3589AE66" w14:textId="77777777" w:rsidR="00312EB4" w:rsidRPr="001E4724" w:rsidRDefault="00CB359E" w:rsidP="001E4724">
      <w:pPr>
        <w:rPr>
          <w:rFonts w:ascii="Arial" w:hAnsi="Arial" w:cs="Arial"/>
        </w:rPr>
      </w:pPr>
      <w:r w:rsidRPr="001E4724">
        <w:rPr>
          <w:rFonts w:ascii="Arial" w:hAnsi="Arial" w:cs="Arial"/>
        </w:rPr>
        <w:t>Verónica Paradizo</w:t>
      </w:r>
    </w:p>
    <w:p w14:paraId="3589AE67" w14:textId="77777777" w:rsidR="00312EB4" w:rsidRPr="001E4724" w:rsidRDefault="00CB359E" w:rsidP="001E4724">
      <w:pPr>
        <w:rPr>
          <w:rFonts w:ascii="Arial" w:hAnsi="Arial" w:cs="Arial"/>
        </w:rPr>
      </w:pPr>
      <w:r w:rsidRPr="001E4724">
        <w:rPr>
          <w:rFonts w:ascii="Arial" w:hAnsi="Arial" w:cs="Arial"/>
        </w:rPr>
        <w:t xml:space="preserve">Nelson Ponce </w:t>
      </w:r>
    </w:p>
    <w:p w14:paraId="3589AE68" w14:textId="77777777" w:rsidR="00312EB4" w:rsidRPr="001E4724" w:rsidRDefault="00CB359E" w:rsidP="001E4724">
      <w:pPr>
        <w:shd w:val="clear" w:color="auto" w:fill="FFFFFF"/>
        <w:spacing w:after="90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Unidad curricular obligatoria</w:t>
      </w:r>
    </w:p>
    <w:p w14:paraId="3589AE69" w14:textId="77777777" w:rsidR="00312EB4" w:rsidRPr="001E4724" w:rsidRDefault="00CB359E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Clínica II: Teorías y técnicas de las intervenciones</w:t>
      </w:r>
    </w:p>
    <w:p w14:paraId="3589AE6A" w14:textId="77777777" w:rsidR="00312EB4" w:rsidRPr="001E4724" w:rsidRDefault="00CB359E" w:rsidP="001E4724">
      <w:pPr>
        <w:shd w:val="clear" w:color="auto" w:fill="FFFFFF"/>
        <w:spacing w:after="90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Vigente desde</w:t>
      </w:r>
    </w:p>
    <w:p w14:paraId="3589AE6B" w14:textId="3DC92F1B" w:rsidR="00312EB4" w:rsidRPr="001E4724" w:rsidRDefault="00CB359E" w:rsidP="001E4724">
      <w:pPr>
        <w:shd w:val="clear" w:color="auto" w:fill="FFFFFF"/>
        <w:spacing w:after="0"/>
        <w:textAlignment w:val="baseline"/>
        <w:rPr>
          <w:rFonts w:ascii="Arial" w:hAnsi="Arial" w:cs="Arial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202</w:t>
      </w:r>
      <w:r w:rsidR="002E07E9" w:rsidRPr="001E4724">
        <w:rPr>
          <w:rFonts w:ascii="Arial" w:eastAsia="Times New Roman" w:hAnsi="Arial" w:cs="Arial"/>
          <w:sz w:val="20"/>
          <w:szCs w:val="20"/>
          <w:lang w:eastAsia="es-ES"/>
        </w:rPr>
        <w:t>6</w:t>
      </w:r>
    </w:p>
    <w:p w14:paraId="3589AE6C" w14:textId="77777777" w:rsidR="00312EB4" w:rsidRPr="001E4724" w:rsidRDefault="00CB359E" w:rsidP="001E4724">
      <w:pPr>
        <w:shd w:val="clear" w:color="auto" w:fill="FFFFFF"/>
        <w:spacing w:after="90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Vigente hasta</w:t>
      </w:r>
    </w:p>
    <w:p w14:paraId="3589AE6D" w14:textId="0ECD2006" w:rsidR="00312EB4" w:rsidRPr="001E4724" w:rsidRDefault="00CB359E" w:rsidP="001E4724">
      <w:pPr>
        <w:shd w:val="clear" w:color="auto" w:fill="FFFFFF"/>
        <w:spacing w:after="0"/>
        <w:textAlignment w:val="baseline"/>
        <w:rPr>
          <w:rFonts w:ascii="Arial" w:hAnsi="Arial" w:cs="Arial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202</w:t>
      </w:r>
      <w:r w:rsidR="002E07E9" w:rsidRPr="001E4724">
        <w:rPr>
          <w:rFonts w:ascii="Arial" w:eastAsia="Times New Roman" w:hAnsi="Arial" w:cs="Arial"/>
          <w:sz w:val="20"/>
          <w:szCs w:val="20"/>
          <w:lang w:eastAsia="es-ES"/>
        </w:rPr>
        <w:t>6</w:t>
      </w:r>
    </w:p>
    <w:p w14:paraId="3589AE6E" w14:textId="77777777" w:rsidR="00312EB4" w:rsidRPr="001E4724" w:rsidRDefault="00CB359E" w:rsidP="001E4724">
      <w:pPr>
        <w:shd w:val="clear" w:color="auto" w:fill="FFFFFF"/>
        <w:spacing w:after="90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Lugar</w:t>
      </w:r>
    </w:p>
    <w:p w14:paraId="3589AE6F" w14:textId="77777777" w:rsidR="00312EB4" w:rsidRPr="001E4724" w:rsidRDefault="00CB359E" w:rsidP="001E4724">
      <w:pPr>
        <w:shd w:val="clear" w:color="auto" w:fill="FFFFFF"/>
        <w:spacing w:after="90"/>
        <w:textAlignment w:val="baseline"/>
        <w:outlineLvl w:val="2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Paysandú, Salto</w:t>
      </w:r>
    </w:p>
    <w:p w14:paraId="3589AE70" w14:textId="77777777" w:rsidR="00312EB4" w:rsidRPr="001E4724" w:rsidRDefault="00CB359E" w:rsidP="001E4724">
      <w:pPr>
        <w:shd w:val="clear" w:color="auto" w:fill="FFFFFF"/>
        <w:spacing w:after="90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Instituto</w:t>
      </w:r>
    </w:p>
    <w:p w14:paraId="3589AE71" w14:textId="77777777" w:rsidR="00312EB4" w:rsidRPr="001E4724" w:rsidRDefault="00CB359E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Instituto de Psicología Clínica</w:t>
      </w:r>
    </w:p>
    <w:p w14:paraId="3589AE72" w14:textId="77777777" w:rsidR="00312EB4" w:rsidRPr="001E4724" w:rsidRDefault="00CB359E" w:rsidP="001E4724">
      <w:pPr>
        <w:shd w:val="clear" w:color="auto" w:fill="FFFFFF"/>
        <w:spacing w:after="90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Ciclo</w:t>
      </w:r>
    </w:p>
    <w:p w14:paraId="3589AE73" w14:textId="77777777" w:rsidR="00312EB4" w:rsidRPr="001E4724" w:rsidRDefault="00CB359E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Formación integral</w:t>
      </w:r>
    </w:p>
    <w:p w14:paraId="3589AE74" w14:textId="77777777" w:rsidR="00312EB4" w:rsidRPr="001E4724" w:rsidRDefault="00CB359E" w:rsidP="001E4724">
      <w:pPr>
        <w:shd w:val="clear" w:color="auto" w:fill="FFFFFF"/>
        <w:spacing w:after="90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Modulo</w:t>
      </w:r>
    </w:p>
    <w:p w14:paraId="3589AE75" w14:textId="77777777" w:rsidR="00312EB4" w:rsidRPr="001E4724" w:rsidRDefault="00CB359E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Metodológico</w:t>
      </w:r>
    </w:p>
    <w:p w14:paraId="3589AE76" w14:textId="77777777" w:rsidR="00312EB4" w:rsidRPr="001E4724" w:rsidRDefault="00CB359E" w:rsidP="001E4724">
      <w:pPr>
        <w:shd w:val="clear" w:color="auto" w:fill="FFFFFF"/>
        <w:spacing w:after="90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proofErr w:type="spellStart"/>
      <w:r w:rsidRPr="001E4724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Creditos</w:t>
      </w:r>
      <w:proofErr w:type="spellEnd"/>
    </w:p>
    <w:p w14:paraId="3589AE77" w14:textId="77777777" w:rsidR="00312EB4" w:rsidRPr="001E4724" w:rsidRDefault="00CB359E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5</w:t>
      </w:r>
    </w:p>
    <w:p w14:paraId="3589AE78" w14:textId="77777777" w:rsidR="00312EB4" w:rsidRPr="001E4724" w:rsidRDefault="00CB359E" w:rsidP="001E4724">
      <w:pPr>
        <w:shd w:val="clear" w:color="auto" w:fill="FFFFFF"/>
        <w:spacing w:after="90"/>
        <w:textAlignment w:val="baseline"/>
        <w:outlineLvl w:val="2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Conocimientos previos</w:t>
      </w:r>
    </w:p>
    <w:p w14:paraId="3589AE79" w14:textId="77777777" w:rsidR="00312EB4" w:rsidRPr="001E4724" w:rsidRDefault="00CB359E" w:rsidP="001E4724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Teorías Psicológicas</w:t>
      </w:r>
    </w:p>
    <w:p w14:paraId="3589AE7A" w14:textId="77777777" w:rsidR="00312EB4" w:rsidRPr="001E4724" w:rsidRDefault="00CB359E" w:rsidP="001E4724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Entrevista Psicológica</w:t>
      </w:r>
    </w:p>
    <w:p w14:paraId="3589AE7B" w14:textId="77777777" w:rsidR="00312EB4" w:rsidRPr="001E4724" w:rsidRDefault="00CB359E" w:rsidP="001E4724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Art. de saberes III: Clínica y Subjetividad</w:t>
      </w:r>
    </w:p>
    <w:p w14:paraId="3589AE7C" w14:textId="77777777" w:rsidR="00312EB4" w:rsidRPr="001E4724" w:rsidRDefault="00CB359E" w:rsidP="001E4724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Clínica I: Fundamentos </w:t>
      </w:r>
      <w:proofErr w:type="spellStart"/>
      <w:r w:rsidRPr="001E4724">
        <w:rPr>
          <w:rFonts w:ascii="Arial" w:eastAsia="Times New Roman" w:hAnsi="Arial" w:cs="Arial"/>
          <w:sz w:val="20"/>
          <w:szCs w:val="20"/>
          <w:lang w:eastAsia="es-ES"/>
        </w:rPr>
        <w:t>psiconalíticos</w:t>
      </w:r>
      <w:proofErr w:type="spellEnd"/>
    </w:p>
    <w:p w14:paraId="3589AE7D" w14:textId="77777777" w:rsidR="00312EB4" w:rsidRPr="001E4724" w:rsidRDefault="00CB359E" w:rsidP="001E4724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Herramientas de la Psicología Clínica</w:t>
      </w:r>
    </w:p>
    <w:p w14:paraId="3589AE7E" w14:textId="77777777" w:rsidR="00312EB4" w:rsidRPr="001E4724" w:rsidRDefault="00CB359E" w:rsidP="001E4724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Fundamentos de la Psicología</w:t>
      </w:r>
    </w:p>
    <w:p w14:paraId="3589AE7F" w14:textId="77777777" w:rsidR="00312EB4" w:rsidRPr="001E4724" w:rsidRDefault="00CB359E" w:rsidP="001E4724">
      <w:pPr>
        <w:numPr>
          <w:ilvl w:val="0"/>
          <w:numId w:val="1"/>
        </w:numPr>
        <w:shd w:val="clear" w:color="auto" w:fill="FFFFFF"/>
        <w:spacing w:after="0"/>
        <w:ind w:left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Inicio a la formación en Psicología</w:t>
      </w:r>
    </w:p>
    <w:p w14:paraId="3589AE80" w14:textId="77777777" w:rsidR="00312EB4" w:rsidRPr="001E4724" w:rsidRDefault="00312EB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FAB5C6" w14:textId="77777777" w:rsid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14:paraId="7064DAD9" w14:textId="77777777" w:rsid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14:paraId="170C1F4B" w14:textId="77777777" w:rsid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14:paraId="3589AE81" w14:textId="682CBAEE" w:rsidR="00312EB4" w:rsidRPr="001E4724" w:rsidRDefault="00CB359E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7"/>
          <w:szCs w:val="27"/>
          <w:lang w:eastAsia="es-ES"/>
        </w:rPr>
        <w:lastRenderedPageBreak/>
        <w:t>Contenidos</w:t>
      </w:r>
    </w:p>
    <w:p w14:paraId="3589AE83" w14:textId="47194A20" w:rsidR="00312EB4" w:rsidRPr="001E4724" w:rsidRDefault="00CB359E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Módulo I: Conceptualizaciones teóricas de las Intervenciones Clínicas</w:t>
      </w:r>
    </w:p>
    <w:p w14:paraId="11B072D8" w14:textId="77777777" w:rsidR="001E4724" w:rsidRDefault="001E4724" w:rsidP="001E4724">
      <w:pPr>
        <w:shd w:val="clear" w:color="auto" w:fill="FFFFFF"/>
        <w:spacing w:after="27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89AE84" w14:textId="44126B70" w:rsidR="00312EB4" w:rsidRPr="001E4724" w:rsidRDefault="00CB359E" w:rsidP="001E4724">
      <w:pPr>
        <w:shd w:val="clear" w:color="auto" w:fill="FFFFFF"/>
        <w:spacing w:after="27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El Rol del psicólogo clínico en diferentes encuadres de trabajo.</w:t>
      </w:r>
    </w:p>
    <w:p w14:paraId="3589AE85" w14:textId="77777777" w:rsidR="00312EB4" w:rsidRPr="001E4724" w:rsidRDefault="00CB359E" w:rsidP="001E4724">
      <w:pPr>
        <w:shd w:val="clear" w:color="auto" w:fill="FFFFFF"/>
        <w:spacing w:after="27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Método y enfoque clínico. Clínica Situacional.</w:t>
      </w:r>
    </w:p>
    <w:p w14:paraId="3589AE87" w14:textId="303D8B36" w:rsidR="00312EB4" w:rsidRPr="001E4724" w:rsidRDefault="00CB359E" w:rsidP="001E4724">
      <w:pPr>
        <w:shd w:val="clear" w:color="auto" w:fill="FFFFFF"/>
        <w:spacing w:after="27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Mirada y escucha clínica. Aptitud y actitud clínica.</w:t>
      </w:r>
    </w:p>
    <w:p w14:paraId="3589AE88" w14:textId="77777777" w:rsidR="00312EB4" w:rsidRPr="001E4724" w:rsidRDefault="00312EB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3B63204E" w14:textId="726517EE" w:rsidR="002E07E9" w:rsidRPr="001E4724" w:rsidRDefault="00CB359E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Bibliografía:</w:t>
      </w:r>
    </w:p>
    <w:p w14:paraId="46FF113E" w14:textId="77777777" w:rsidR="002E07E9" w:rsidRPr="001E4724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B13A164" w14:textId="77777777" w:rsidR="002E07E9" w:rsidRPr="002E07E9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E07E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Módulo I: Fundamentos teóricos y epistemológicos de las intervenciones clínicas.</w:t>
      </w:r>
    </w:p>
    <w:p w14:paraId="1B236993" w14:textId="77777777" w:rsidR="002E07E9" w:rsidRPr="002E07E9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2E07E9">
        <w:rPr>
          <w:rFonts w:ascii="Arial" w:eastAsia="Times New Roman" w:hAnsi="Arial" w:cs="Arial"/>
          <w:sz w:val="20"/>
          <w:szCs w:val="20"/>
          <w:lang w:eastAsia="es-ES"/>
        </w:rPr>
        <w:t>El Rol del psicólogo clínico en diferentes encuadres de trabajo.</w:t>
      </w:r>
      <w:r w:rsidRPr="002E07E9">
        <w:rPr>
          <w:rFonts w:ascii="Arial" w:eastAsia="Times New Roman" w:hAnsi="Arial" w:cs="Arial"/>
          <w:sz w:val="20"/>
          <w:szCs w:val="20"/>
          <w:lang w:eastAsia="es-ES"/>
        </w:rPr>
        <w:br/>
        <w:t>Transformaciones de la clínica a partir de la inserción de la psicología en servicios de salud.</w:t>
      </w:r>
      <w:r w:rsidRPr="002E07E9">
        <w:rPr>
          <w:rFonts w:ascii="Arial" w:eastAsia="Times New Roman" w:hAnsi="Arial" w:cs="Arial"/>
          <w:sz w:val="20"/>
          <w:szCs w:val="20"/>
          <w:lang w:eastAsia="es-ES"/>
        </w:rPr>
        <w:br/>
        <w:t>Clínica Situacional. Método clínico. Mirada y escucha clínica.</w:t>
      </w:r>
    </w:p>
    <w:p w14:paraId="34E73B22" w14:textId="77777777" w:rsidR="002E07E9" w:rsidRPr="001E4724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95E3A0" w14:textId="7207EBA0" w:rsidR="002E07E9" w:rsidRPr="002E07E9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2E07E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Bibliografía:</w:t>
      </w:r>
    </w:p>
    <w:p w14:paraId="7DDC4044" w14:textId="77777777" w:rsidR="002E07E9" w:rsidRPr="001E4724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4A45F1" w14:textId="0D512A9B" w:rsidR="002E07E9" w:rsidRPr="002E07E9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2E07E9">
        <w:rPr>
          <w:rFonts w:ascii="Arial" w:eastAsia="Times New Roman" w:hAnsi="Arial" w:cs="Arial"/>
          <w:sz w:val="20"/>
          <w:szCs w:val="20"/>
          <w:lang w:eastAsia="es-ES"/>
        </w:rPr>
        <w:t>Antar, C., &amp; Gurman, H. (2002). El texto en un contexto: La clínica situacional. En Congreso Argentino de Psicoanálisis.</w:t>
      </w:r>
    </w:p>
    <w:p w14:paraId="0F7776CA" w14:textId="77777777" w:rsidR="002E07E9" w:rsidRPr="001E4724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6A2011" w14:textId="059A673E" w:rsidR="002E07E9" w:rsidRPr="002E07E9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2E07E9">
        <w:rPr>
          <w:rFonts w:ascii="Arial" w:eastAsia="Times New Roman" w:hAnsi="Arial" w:cs="Arial"/>
          <w:sz w:val="20"/>
          <w:szCs w:val="20"/>
          <w:lang w:eastAsia="es-ES"/>
        </w:rPr>
        <w:t>Ministerio de Salud Pública del Uruguay. (2011). Plan de implementación de prestaciones en salud mental en el SNIS. Autor.</w:t>
      </w:r>
    </w:p>
    <w:p w14:paraId="3CB719C2" w14:textId="77777777" w:rsidR="002E07E9" w:rsidRPr="001E4724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F5D0D22" w14:textId="7514DEDF" w:rsidR="002E07E9" w:rsidRPr="002E07E9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2E07E9">
        <w:rPr>
          <w:rFonts w:ascii="Arial" w:eastAsia="Times New Roman" w:hAnsi="Arial" w:cs="Arial"/>
          <w:sz w:val="20"/>
          <w:szCs w:val="20"/>
          <w:lang w:eastAsia="es-ES"/>
        </w:rPr>
        <w:t>Rivalis</w:t>
      </w:r>
      <w:proofErr w:type="spellEnd"/>
      <w:r w:rsidRPr="002E07E9">
        <w:rPr>
          <w:rFonts w:ascii="Arial" w:eastAsia="Times New Roman" w:hAnsi="Arial" w:cs="Arial"/>
          <w:sz w:val="20"/>
          <w:szCs w:val="20"/>
          <w:lang w:eastAsia="es-ES"/>
        </w:rPr>
        <w:t xml:space="preserve">, G. (2012). Construcción de la salud mental (pp. 189–196). En Psicoterapia: Encuentro y diálogo inteligente. Condiciones de humanidad y criterios de salud. Buenos Aires, Argentina: </w:t>
      </w:r>
      <w:proofErr w:type="spellStart"/>
      <w:r w:rsidRPr="002E07E9">
        <w:rPr>
          <w:rFonts w:ascii="Arial" w:eastAsia="Times New Roman" w:hAnsi="Arial" w:cs="Arial"/>
          <w:sz w:val="20"/>
          <w:szCs w:val="20"/>
          <w:lang w:eastAsia="es-ES"/>
        </w:rPr>
        <w:t>Noveduc</w:t>
      </w:r>
      <w:proofErr w:type="spellEnd"/>
      <w:r w:rsidRPr="002E07E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2FADB377" w14:textId="77777777" w:rsidR="002E07E9" w:rsidRPr="001E4724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FCDACD6" w14:textId="3B02B5DE" w:rsidR="002E07E9" w:rsidRPr="002E07E9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2E07E9">
        <w:rPr>
          <w:rFonts w:ascii="Arial" w:eastAsia="Times New Roman" w:hAnsi="Arial" w:cs="Arial"/>
          <w:sz w:val="20"/>
          <w:szCs w:val="20"/>
          <w:lang w:eastAsia="es-ES"/>
        </w:rPr>
        <w:t xml:space="preserve">Tortorella, A. (Coord.), Tabó, M., Contino, G., </w:t>
      </w:r>
      <w:proofErr w:type="spellStart"/>
      <w:r w:rsidRPr="002E07E9">
        <w:rPr>
          <w:rFonts w:ascii="Arial" w:eastAsia="Times New Roman" w:hAnsi="Arial" w:cs="Arial"/>
          <w:sz w:val="20"/>
          <w:szCs w:val="20"/>
          <w:lang w:eastAsia="es-ES"/>
        </w:rPr>
        <w:t>Dogmanas</w:t>
      </w:r>
      <w:proofErr w:type="spellEnd"/>
      <w:r w:rsidRPr="002E07E9">
        <w:rPr>
          <w:rFonts w:ascii="Arial" w:eastAsia="Times New Roman" w:hAnsi="Arial" w:cs="Arial"/>
          <w:sz w:val="20"/>
          <w:szCs w:val="20"/>
          <w:lang w:eastAsia="es-ES"/>
        </w:rPr>
        <w:t xml:space="preserve">, F., &amp; Casal, M. (2023). Manual didáctico para la enseñanza de grado: Teorías y técnicas de las intervenciones psicológicas en servicios de salud (Prólogo; Cap. 1: Formación de profesionales para desempeñarse en servicios de salud; Cap. 2: Conceptos teóricos y herramientas metodológicas en psicología clínica para las intervenciones psicológicas en servicios de salud; Cap. 3 El 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>psicólogo</w:t>
      </w:r>
      <w:r w:rsidRPr="002E07E9">
        <w:rPr>
          <w:rFonts w:ascii="Arial" w:eastAsia="Times New Roman" w:hAnsi="Arial" w:cs="Arial"/>
          <w:sz w:val="20"/>
          <w:szCs w:val="20"/>
          <w:lang w:eastAsia="es-ES"/>
        </w:rPr>
        <w:t xml:space="preserve"> en el SNIS; 5: Experiencia en servicios de salud: El psicólogo en intervenciones interdisciplinarias; Cap. 8: Intervención diagnóstica: Transición epistemológica). Montevideo, Uruguay: Comisión Sectorial de Enseñanza, Universidad de la República.</w:t>
      </w:r>
    </w:p>
    <w:p w14:paraId="406C85A1" w14:textId="77777777" w:rsidR="002E07E9" w:rsidRPr="002E07E9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2E07E9">
        <w:rPr>
          <w:rFonts w:ascii="Arial" w:eastAsia="Times New Roman" w:hAnsi="Arial" w:cs="Arial"/>
          <w:sz w:val="20"/>
          <w:szCs w:val="20"/>
          <w:lang w:eastAsia="es-ES"/>
        </w:rPr>
        <w:t>Ulloa, F. (1973). Psicología clínica de adultos. Buenos Aires, Argentina: Sigla.</w:t>
      </w:r>
    </w:p>
    <w:p w14:paraId="7A4917B1" w14:textId="77777777" w:rsidR="002E07E9" w:rsidRPr="001E4724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9369E2D" w14:textId="77777777" w:rsidR="002E07E9" w:rsidRPr="001E4724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62339927" w14:textId="77777777" w:rsidR="002E07E9" w:rsidRPr="001E4724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1E4724">
        <w:rPr>
          <w:rFonts w:ascii="Arial" w:eastAsia="Times New Roman" w:hAnsi="Arial" w:cs="Arial"/>
          <w:sz w:val="20"/>
          <w:szCs w:val="20"/>
          <w:lang w:eastAsia="es-ES"/>
        </w:rPr>
        <w:t>Celener</w:t>
      </w:r>
      <w:proofErr w:type="spellEnd"/>
      <w:r w:rsidRPr="001E4724">
        <w:rPr>
          <w:rFonts w:ascii="Arial" w:eastAsia="Times New Roman" w:hAnsi="Arial" w:cs="Arial"/>
          <w:sz w:val="20"/>
          <w:szCs w:val="20"/>
          <w:lang w:eastAsia="es-ES"/>
        </w:rPr>
        <w:t>, G et al., (2004), T</w:t>
      </w:r>
      <w:r w:rsidRPr="001E4724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écnicas Proyectivas. Actualizaciones e Interpretación en los Ámbitos, Clínicos, laboral y Forense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>, Tomo II, Buenos Aires: Lugar Editorial.</w:t>
      </w:r>
    </w:p>
    <w:p w14:paraId="70875BFC" w14:textId="77777777" w:rsidR="002E07E9" w:rsidRPr="001E4724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DF3D94A" w14:textId="4E857EFA" w:rsidR="002E07E9" w:rsidRPr="001E4724" w:rsidRDefault="002E07E9" w:rsidP="001E4724">
      <w:pPr>
        <w:shd w:val="clear" w:color="auto" w:fill="FFFFFF"/>
        <w:spacing w:after="27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Bleger, J. (1985). Temas de psicología: entrevista y grupos. Buenos Aires: Nueva Visión.</w:t>
      </w:r>
    </w:p>
    <w:p w14:paraId="13E0C531" w14:textId="77777777" w:rsidR="002E07E9" w:rsidRPr="001E4724" w:rsidRDefault="002E07E9" w:rsidP="001E4724">
      <w:pPr>
        <w:shd w:val="clear" w:color="auto" w:fill="FFFFFF"/>
        <w:spacing w:after="27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Ulloa, F (1973). Psicología clínica de adultos. Buenos Aires. Ed. Sigla.</w:t>
      </w:r>
    </w:p>
    <w:p w14:paraId="30F998FB" w14:textId="77777777" w:rsidR="002E07E9" w:rsidRPr="001E4724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Ulloa (1964) </w:t>
      </w:r>
      <w:r w:rsidRPr="001E4724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Método clínico en Psicología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>. Buenos Aires. Ed. Universidad Nacional de Bs.As.     </w:t>
      </w:r>
    </w:p>
    <w:p w14:paraId="1D95DB28" w14:textId="77777777" w:rsidR="002E07E9" w:rsidRPr="001E4724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E4A6577" w14:textId="77777777" w:rsidR="002E07E9" w:rsidRPr="001E4724" w:rsidRDefault="002E07E9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6B30A78" w14:textId="77777777" w:rsidR="00315CC1" w:rsidRPr="00315CC1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315CC1">
        <w:rPr>
          <w:rFonts w:ascii="Arial" w:eastAsia="Times New Roman" w:hAnsi="Arial" w:cs="Arial"/>
          <w:b/>
          <w:bCs/>
          <w:sz w:val="20"/>
          <w:szCs w:val="20"/>
          <w:lang w:eastAsia="es-ES"/>
        </w:rPr>
        <w:lastRenderedPageBreak/>
        <w:t>Módulo II: Modalidades de las intervenciones clínicas.</w:t>
      </w:r>
    </w:p>
    <w:p w14:paraId="2DA58D2A" w14:textId="77777777" w:rsidR="00315CC1" w:rsidRPr="00315CC1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UY"/>
        </w:rPr>
      </w:pP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Intervenciones psicológicas. Intervenciones en Servicios de Salud.</w:t>
      </w: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br/>
        <w:t>Comité/Equipo de Recepción. Intervenciones diagnósticas. Intervenciones psicoterapéuticas. Procesos de intervención clínica. Intervenciones con objetivos y tiempos definidos.</w:t>
      </w: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br/>
        <w:t>Intervenciones psicológicas a distancia.</w:t>
      </w:r>
    </w:p>
    <w:p w14:paraId="0A9D80CA" w14:textId="77777777" w:rsidR="00315CC1" w:rsidRPr="001E4724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</w:pPr>
    </w:p>
    <w:p w14:paraId="4325497E" w14:textId="08F71998" w:rsidR="00315CC1" w:rsidRPr="00315CC1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UY"/>
        </w:rPr>
      </w:pPr>
      <w:r w:rsidRPr="00315CC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Bibliografía:</w:t>
      </w:r>
    </w:p>
    <w:p w14:paraId="75B27963" w14:textId="77777777" w:rsidR="00315CC1" w:rsidRPr="001E4724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</w:pPr>
    </w:p>
    <w:p w14:paraId="08813A52" w14:textId="57626B12" w:rsidR="00315CC1" w:rsidRPr="00315CC1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UY"/>
        </w:rPr>
      </w:pP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Boholavsky, R. (1979). </w:t>
      </w:r>
      <w:r w:rsidRPr="00315CC1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Orientación vocacional: La estrategia clínica</w:t>
      </w: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 (pp. 13–31). Buenos Aires, Argentina: Nueva Visión.</w:t>
      </w:r>
    </w:p>
    <w:p w14:paraId="07FFD2AB" w14:textId="77777777" w:rsidR="00315CC1" w:rsidRPr="001E4724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</w:pPr>
    </w:p>
    <w:p w14:paraId="60A72392" w14:textId="5AE7C1BA" w:rsidR="00315CC1" w:rsidRPr="00315CC1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UY"/>
        </w:rPr>
      </w:pP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Bonomo, S., &amp; Domínguez, P. (2005). </w:t>
      </w:r>
      <w:r w:rsidRPr="00315CC1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Particularidades de la entrevista de recepción en niños</w:t>
      </w: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. En A. Muniz (Comp.), </w:t>
      </w:r>
      <w:r w:rsidRPr="00315CC1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Diagnósticos e intervenciones</w:t>
      </w: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 xml:space="preserve"> (Tomo III). Montevideo, Uruguay: </w:t>
      </w:r>
      <w:proofErr w:type="spellStart"/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Psicolibros</w:t>
      </w:r>
      <w:proofErr w:type="spellEnd"/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.</w:t>
      </w:r>
    </w:p>
    <w:p w14:paraId="7A95BBC7" w14:textId="77777777" w:rsidR="00315CC1" w:rsidRPr="001E4724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</w:pPr>
    </w:p>
    <w:p w14:paraId="25AF68EB" w14:textId="77777777" w:rsidR="00315CC1" w:rsidRPr="001E4724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</w:pP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Cristóforo, A. (2002). </w:t>
      </w:r>
      <w:r w:rsidRPr="00315CC1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La noción de intervención en el marco de la consulta psicológica</w:t>
      </w: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 xml:space="preserve">. En A. </w:t>
      </w:r>
    </w:p>
    <w:p w14:paraId="4A167ADF" w14:textId="77777777" w:rsidR="00315CC1" w:rsidRPr="001E4724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</w:pPr>
    </w:p>
    <w:p w14:paraId="070C7255" w14:textId="5558C8A6" w:rsidR="00315CC1" w:rsidRPr="00315CC1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UY"/>
        </w:rPr>
      </w:pP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Muniz (Comp.), </w:t>
      </w:r>
      <w:r w:rsidRPr="00315CC1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Diagnósticos e intervenciones</w:t>
      </w: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 xml:space="preserve"> (Tomo I). Montevideo, Uruguay: </w:t>
      </w:r>
      <w:proofErr w:type="spellStart"/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Psicolibros</w:t>
      </w:r>
      <w:proofErr w:type="spellEnd"/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–</w:t>
      </w:r>
      <w:proofErr w:type="spellStart"/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Waslala</w:t>
      </w:r>
      <w:proofErr w:type="spellEnd"/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.</w:t>
      </w:r>
    </w:p>
    <w:p w14:paraId="213C6CD8" w14:textId="77777777" w:rsidR="00315CC1" w:rsidRPr="001E4724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</w:pPr>
    </w:p>
    <w:p w14:paraId="038AD5A3" w14:textId="5B748C6F" w:rsidR="00315CC1" w:rsidRPr="00315CC1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UY"/>
        </w:rPr>
      </w:pP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Roussos, A. (2018). Cuando el diván no es el mismo: La irrupción de las tecnologías de información y comunicación (TIC) en la psicoterapia. </w:t>
      </w:r>
      <w:r w:rsidRPr="00315CC1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Revista Brasileira de Psicoterapia, 20</w:t>
      </w: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(3), 229–240.</w:t>
      </w:r>
    </w:p>
    <w:p w14:paraId="788CF1AC" w14:textId="77777777" w:rsidR="00315CC1" w:rsidRPr="001E4724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</w:pPr>
    </w:p>
    <w:p w14:paraId="00328EE2" w14:textId="2628713D" w:rsidR="00315CC1" w:rsidRPr="00315CC1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UY"/>
        </w:rPr>
      </w:pP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 xml:space="preserve">Tortorella, A. (Coord.), Tabó, M., Contino, G., </w:t>
      </w:r>
      <w:proofErr w:type="spellStart"/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Dogmanas</w:t>
      </w:r>
      <w:proofErr w:type="spellEnd"/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, F., &amp; Casal, M. (2023). </w:t>
      </w:r>
      <w:r w:rsidRPr="00315CC1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Manual didáctico para la enseñanza de grado: Teorías y técnicas de las intervenciones psicológicas en servicios de salud</w:t>
      </w: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 (Cap. 2: Conceptos teóricos y herramientas metodológicas en psicología clínica para las intervenciones psicológicas en servicios de salud; Cap. 4: El trabajo e inserción del psicólogo en el primer nivel de atención en salud; Cap. 6: La entrevista de recepción en equipos o comité de recepción en el marco de la consulta psicológica en servicios de salud; Cap. 12: Intervenciones clínicas psicológicas en la virtualidad). Montevideo, Uruguay: Comisión Sectorial de Enseñanza, Universidad de la República.</w:t>
      </w:r>
    </w:p>
    <w:p w14:paraId="39B960D5" w14:textId="77777777" w:rsidR="00315CC1" w:rsidRPr="001E4724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</w:pPr>
    </w:p>
    <w:p w14:paraId="2EA01E36" w14:textId="52203C62" w:rsidR="00315CC1" w:rsidRPr="00315CC1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UY"/>
        </w:rPr>
      </w:pP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Unidad de Apoyo a la Extensión y Actividades en el Medio (</w:t>
      </w:r>
      <w:proofErr w:type="spellStart"/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UAExAM</w:t>
      </w:r>
      <w:proofErr w:type="spellEnd"/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). (2021). </w:t>
      </w:r>
      <w:r w:rsidRPr="00315CC1"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Experiencias de los equipos de extensión universitaria de la Facultad de Psicología en el marco de la situación de emergencia social y sanitaria ante la pandemia COVID-19</w:t>
      </w:r>
      <w:r w:rsidRPr="00315CC1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val="es-UY" w:eastAsia="es-UY"/>
        </w:rPr>
        <w:t>. Montevideo, Uruguay: Universidad de la República.</w:t>
      </w:r>
    </w:p>
    <w:p w14:paraId="4F92D087" w14:textId="77777777" w:rsidR="00315CC1" w:rsidRPr="001E4724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385D4B27" w14:textId="77777777" w:rsidR="00315CC1" w:rsidRPr="001E4724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077B212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Módulo III: Elementos para el análisis de las intervenciones</w:t>
      </w:r>
    </w:p>
    <w:p w14:paraId="1AF73E66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A218B13" w14:textId="20B442BC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Alianza de trabajo en los dispositivos de intervención clínica. Niveles de Diagnóstico: de 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>situación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>, dinámico y estructural.</w:t>
      </w:r>
    </w:p>
    <w:p w14:paraId="13E11E57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Recursos técnicos. Estrategia Clínica.</w:t>
      </w:r>
    </w:p>
    <w:p w14:paraId="3E559931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Formulación Psicodinámica de Caso. Noción de Foco.</w:t>
      </w:r>
    </w:p>
    <w:p w14:paraId="74E2BF5E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D47FCC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Bibliografía:</w:t>
      </w:r>
    </w:p>
    <w:p w14:paraId="28377852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30FB901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Altavilla, M. (Comp.). (2023). La disponibilidad del analista: Implicación y vínculo (pp. 99–108). En Desvalimiento y reparación: Ética para un psicoanálisis situado. Buenos Aires, Argentina: </w:t>
      </w:r>
      <w:proofErr w:type="spellStart"/>
      <w:r w:rsidRPr="001E4724">
        <w:rPr>
          <w:rFonts w:ascii="Arial" w:eastAsia="Times New Roman" w:hAnsi="Arial" w:cs="Arial"/>
          <w:sz w:val="20"/>
          <w:szCs w:val="20"/>
          <w:lang w:eastAsia="es-ES"/>
        </w:rPr>
        <w:t>Entreideas</w:t>
      </w:r>
      <w:proofErr w:type="spellEnd"/>
      <w:r w:rsidRPr="001E4724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3D3945B0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933412F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De Souza, L., &amp; </w:t>
      </w:r>
      <w:proofErr w:type="spellStart"/>
      <w:r w:rsidRPr="001E4724">
        <w:rPr>
          <w:rFonts w:ascii="Arial" w:eastAsia="Times New Roman" w:hAnsi="Arial" w:cs="Arial"/>
          <w:sz w:val="20"/>
          <w:szCs w:val="20"/>
          <w:lang w:eastAsia="es-ES"/>
        </w:rPr>
        <w:t>Zytner</w:t>
      </w:r>
      <w:proofErr w:type="spellEnd"/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, R. (2016). La entrevista clínica y la formulación psicodinámica del caso. En R. Bernardi, B. Varela, D. Miller, R. </w:t>
      </w:r>
      <w:proofErr w:type="spellStart"/>
      <w:r w:rsidRPr="001E4724">
        <w:rPr>
          <w:rFonts w:ascii="Arial" w:eastAsia="Times New Roman" w:hAnsi="Arial" w:cs="Arial"/>
          <w:sz w:val="20"/>
          <w:szCs w:val="20"/>
          <w:lang w:eastAsia="es-ES"/>
        </w:rPr>
        <w:t>Zytner</w:t>
      </w:r>
      <w:proofErr w:type="spellEnd"/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, L. de Souza, &amp; R. </w:t>
      </w:r>
      <w:proofErr w:type="spellStart"/>
      <w:r w:rsidRPr="001E4724">
        <w:rPr>
          <w:rFonts w:ascii="Arial" w:eastAsia="Times New Roman" w:hAnsi="Arial" w:cs="Arial"/>
          <w:sz w:val="20"/>
          <w:szCs w:val="20"/>
          <w:lang w:eastAsia="es-ES"/>
        </w:rPr>
        <w:t>Oyenard</w:t>
      </w:r>
      <w:proofErr w:type="spellEnd"/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, La formulación psicodinámica de caso: Su valor para la clínica (pp. </w:t>
      </w:r>
      <w:proofErr w:type="spellStart"/>
      <w:r w:rsidRPr="001E4724">
        <w:rPr>
          <w:rFonts w:ascii="Arial" w:eastAsia="Times New Roman" w:hAnsi="Arial" w:cs="Arial"/>
          <w:sz w:val="20"/>
          <w:szCs w:val="20"/>
          <w:lang w:eastAsia="es-ES"/>
        </w:rPr>
        <w:t>xx</w:t>
      </w:r>
      <w:proofErr w:type="spellEnd"/>
      <w:r w:rsidRPr="001E4724">
        <w:rPr>
          <w:rFonts w:ascii="Arial" w:eastAsia="Times New Roman" w:hAnsi="Arial" w:cs="Arial"/>
          <w:sz w:val="20"/>
          <w:szCs w:val="20"/>
          <w:lang w:eastAsia="es-ES"/>
        </w:rPr>
        <w:t>–</w:t>
      </w:r>
      <w:proofErr w:type="spellStart"/>
      <w:r w:rsidRPr="001E4724">
        <w:rPr>
          <w:rFonts w:ascii="Arial" w:eastAsia="Times New Roman" w:hAnsi="Arial" w:cs="Arial"/>
          <w:sz w:val="20"/>
          <w:szCs w:val="20"/>
          <w:lang w:eastAsia="es-ES"/>
        </w:rPr>
        <w:t>xx</w:t>
      </w:r>
      <w:proofErr w:type="spellEnd"/>
      <w:r w:rsidRPr="001E4724">
        <w:rPr>
          <w:rFonts w:ascii="Arial" w:eastAsia="Times New Roman" w:hAnsi="Arial" w:cs="Arial"/>
          <w:sz w:val="20"/>
          <w:szCs w:val="20"/>
          <w:lang w:eastAsia="es-ES"/>
        </w:rPr>
        <w:t>). Montevideo, Uruguay: Universidad Católica del Uruguay, Grupo Magro Editorial.</w:t>
      </w:r>
    </w:p>
    <w:p w14:paraId="1E589685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933C1D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Fiorini, H. (2002). El concepto de foco. En Teoría y técnica de psicoterapias (18.ª ed.). Buenos Aires, Argentina: Nueva Visión.</w:t>
      </w:r>
    </w:p>
    <w:p w14:paraId="76760F88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A3EBCEF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Fiorini, H., et al. (1992). Focalización y psicoanálisis (Cap. 1, pp. 11–41). Montevideo, Uruguay: Roca Viva.</w:t>
      </w:r>
    </w:p>
    <w:p w14:paraId="43E2DF49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9CD1C7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Juan, S., </w:t>
      </w:r>
      <w:proofErr w:type="spellStart"/>
      <w:r w:rsidRPr="001E4724">
        <w:rPr>
          <w:rFonts w:ascii="Arial" w:eastAsia="Times New Roman" w:hAnsi="Arial" w:cs="Arial"/>
          <w:sz w:val="20"/>
          <w:szCs w:val="20"/>
          <w:lang w:eastAsia="es-ES"/>
        </w:rPr>
        <w:t>Etchebarne</w:t>
      </w:r>
      <w:proofErr w:type="spellEnd"/>
      <w:r w:rsidRPr="001E4724">
        <w:rPr>
          <w:rFonts w:ascii="Arial" w:eastAsia="Times New Roman" w:hAnsi="Arial" w:cs="Arial"/>
          <w:sz w:val="20"/>
          <w:szCs w:val="20"/>
          <w:lang w:eastAsia="es-ES"/>
        </w:rPr>
        <w:t>, I., Weisman, V., Leibovich de Duarte, A., &amp; Roussos, A. (2009). El proceso inferencial clínico, el pronóstico y las intervenciones del psicoterapeuta. Anuario de Investigaciones, 16. Facultad de Psicología, Universidad de Buenos Aires. https://www.scielo.org.ar/pdf/anuinv/v16/v16a04.pdf</w:t>
      </w:r>
    </w:p>
    <w:p w14:paraId="2828AC77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6D1DBC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1E4724">
        <w:rPr>
          <w:rFonts w:ascii="Arial" w:eastAsia="Times New Roman" w:hAnsi="Arial" w:cs="Arial"/>
          <w:sz w:val="20"/>
          <w:szCs w:val="20"/>
          <w:lang w:eastAsia="es-ES"/>
        </w:rPr>
        <w:t>Magnato</w:t>
      </w:r>
      <w:proofErr w:type="spellEnd"/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 Mateo, C., &amp; Ávila Espada, A. (1999). El diagnóstico psicodinámico: Aspectos conceptuales. https://journals.copmadrid.org/clysa/archivos/50621.pdf</w:t>
      </w:r>
    </w:p>
    <w:p w14:paraId="641A7A3B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D00777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Safran, J. D., &amp; Muran, C. J. (2005). La alianza terapéutica reconsiderada. En La alianza terapéutica: Una guía para el tratamiento relacional. Bilbao, España: Desclée de Brouwer.</w:t>
      </w:r>
    </w:p>
    <w:p w14:paraId="55BB5EDC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032F6B7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Tortorella, A. (Coord.), Tabó, M., Contino, G., </w:t>
      </w:r>
      <w:proofErr w:type="spellStart"/>
      <w:r w:rsidRPr="001E4724">
        <w:rPr>
          <w:rFonts w:ascii="Arial" w:eastAsia="Times New Roman" w:hAnsi="Arial" w:cs="Arial"/>
          <w:sz w:val="20"/>
          <w:szCs w:val="20"/>
          <w:lang w:eastAsia="es-ES"/>
        </w:rPr>
        <w:t>Dogmanas</w:t>
      </w:r>
      <w:proofErr w:type="spellEnd"/>
      <w:r w:rsidRPr="001E4724">
        <w:rPr>
          <w:rFonts w:ascii="Arial" w:eastAsia="Times New Roman" w:hAnsi="Arial" w:cs="Arial"/>
          <w:sz w:val="20"/>
          <w:szCs w:val="20"/>
          <w:lang w:eastAsia="es-ES"/>
        </w:rPr>
        <w:t>, F., &amp; Casal, M. (2023). Manual didáctico para la enseñanza de grado: Teorías y técnicas de las intervenciones psicológicas en servicios de salud (Cap. 2: Conceptos teóricos y herramientas metodológicas en psicología clínica para las intervenciones psicológicas en servicios de salud; Cap. 7: Complejidades de una intervención en un servicio universitario: Recepción y estrategia clínica; Cap. 8: Intervención diagnóstica: Transición epistemológica; Cap. 9: Las técnicas en la intervención diagnóstica: Particularidades; Cap. 11: Intervenciones con pacientes oncológicos en servicios de salud). Montevideo, Uruguay: Comisión Sectorial de Enseñanza, Universidad de la República.</w:t>
      </w:r>
    </w:p>
    <w:p w14:paraId="0E2F8753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B87068E" w14:textId="50674182" w:rsidR="00315CC1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Muniz, A. (Comp.). (2018). Intervenciones en psicología clínica: Herramientas para la evaluación y el diagnóstico (Cap. 1: La primera entrevista clínica psicológica en servicios de salud, por A. L. </w:t>
      </w:r>
      <w:proofErr w:type="spellStart"/>
      <w:r w:rsidRPr="001E4724">
        <w:rPr>
          <w:rFonts w:ascii="Arial" w:eastAsia="Times New Roman" w:hAnsi="Arial" w:cs="Arial"/>
          <w:sz w:val="20"/>
          <w:szCs w:val="20"/>
          <w:lang w:eastAsia="es-ES"/>
        </w:rPr>
        <w:t>Protesoni</w:t>
      </w:r>
      <w:proofErr w:type="spellEnd"/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). Montevideo, Uruguay: </w:t>
      </w:r>
      <w:proofErr w:type="spellStart"/>
      <w:r w:rsidRPr="001E4724">
        <w:rPr>
          <w:rFonts w:ascii="Arial" w:eastAsia="Times New Roman" w:hAnsi="Arial" w:cs="Arial"/>
          <w:sz w:val="20"/>
          <w:szCs w:val="20"/>
          <w:lang w:eastAsia="es-ES"/>
        </w:rPr>
        <w:t>Psicolibros</w:t>
      </w:r>
      <w:proofErr w:type="spellEnd"/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1E4724">
        <w:rPr>
          <w:rFonts w:ascii="Arial" w:eastAsia="Times New Roman" w:hAnsi="Arial" w:cs="Arial"/>
          <w:sz w:val="20"/>
          <w:szCs w:val="20"/>
          <w:lang w:eastAsia="es-ES"/>
        </w:rPr>
        <w:t>Waslala</w:t>
      </w:r>
      <w:proofErr w:type="spellEnd"/>
      <w:r w:rsidRPr="001E4724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00FFB610" w14:textId="77777777" w:rsidR="00315CC1" w:rsidRPr="001E4724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63A62CD" w14:textId="77777777" w:rsidR="00315CC1" w:rsidRPr="001E4724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EADBC30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Módulo IV: Devolución y cierre de las intervenciones.</w:t>
      </w:r>
    </w:p>
    <w:p w14:paraId="5A19388E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49B857E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Devolución como proceso.</w:t>
      </w:r>
    </w:p>
    <w:p w14:paraId="2D5CE773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Cierre en las intervenciones clínicas.</w:t>
      </w:r>
    </w:p>
    <w:p w14:paraId="6027F4DA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Historia Clínica: Aspectos éticos</w:t>
      </w:r>
    </w:p>
    <w:p w14:paraId="77E9335F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864BE18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Bibliografía</w:t>
      </w:r>
    </w:p>
    <w:p w14:paraId="5BDD7EDA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B584CC2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Aguirre, M., Basilio, M., De la Peña, A. M., &amp; Pereiro, C. (1989). Entrevista de devolución: Un pensar juntos. Montevideo, Uruguay: Roca Viva.</w:t>
      </w:r>
    </w:p>
    <w:p w14:paraId="658586F7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979F6D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Fernández, C., &amp; Guerrero de Varón, L. (1989). Devolución: Síntesis de un proceso. Montevideo, Uruguay: Roca Viva.</w:t>
      </w:r>
    </w:p>
    <w:p w14:paraId="29CBEF71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AD8989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Tortorella, A. (2007). Entrevista de devolución, orientación y cierre. En J. Tabó et al., Entrevista: Devenires de la clínica (pp. 69–80). Montevideo, Uruguay: </w:t>
      </w:r>
      <w:proofErr w:type="spellStart"/>
      <w:r w:rsidRPr="001E4724">
        <w:rPr>
          <w:rFonts w:ascii="Arial" w:eastAsia="Times New Roman" w:hAnsi="Arial" w:cs="Arial"/>
          <w:sz w:val="20"/>
          <w:szCs w:val="20"/>
          <w:lang w:eastAsia="es-ES"/>
        </w:rPr>
        <w:t>Psicolibros</w:t>
      </w:r>
      <w:proofErr w:type="spellEnd"/>
      <w:r w:rsidRPr="001E4724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0F820B30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F3EFAE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Tortorella, A. (Coord.), Tabó, M., Contino, G., </w:t>
      </w:r>
      <w:proofErr w:type="spellStart"/>
      <w:r w:rsidRPr="001E4724">
        <w:rPr>
          <w:rFonts w:ascii="Arial" w:eastAsia="Times New Roman" w:hAnsi="Arial" w:cs="Arial"/>
          <w:sz w:val="20"/>
          <w:szCs w:val="20"/>
          <w:lang w:eastAsia="es-ES"/>
        </w:rPr>
        <w:t>Dogmanas</w:t>
      </w:r>
      <w:proofErr w:type="spellEnd"/>
      <w:r w:rsidRPr="001E4724">
        <w:rPr>
          <w:rFonts w:ascii="Arial" w:eastAsia="Times New Roman" w:hAnsi="Arial" w:cs="Arial"/>
          <w:sz w:val="20"/>
          <w:szCs w:val="20"/>
          <w:lang w:eastAsia="es-ES"/>
        </w:rPr>
        <w:t>, F., &amp; Casal, M. (2023). Manual didáctico para la enseñanza de grado: Teorías y técnicas de las intervenciones psicológicas en servicios de salud (Cap. 10: Pensando la devolución). Montevideo, Uruguay: Comisión Sectorial de Enseñanza, Universidad de la República.</w:t>
      </w:r>
    </w:p>
    <w:p w14:paraId="5F95B60A" w14:textId="77777777" w:rsidR="00315CC1" w:rsidRPr="001E4724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DD6BA59" w14:textId="77777777" w:rsidR="005D651D" w:rsidRPr="005D651D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s-UY" w:eastAsia="es-ES"/>
        </w:rPr>
      </w:pPr>
      <w:r w:rsidRPr="005D651D">
        <w:rPr>
          <w:rFonts w:ascii="Arial" w:eastAsia="Times New Roman" w:hAnsi="Arial" w:cs="Arial"/>
          <w:b/>
          <w:bCs/>
          <w:sz w:val="20"/>
          <w:szCs w:val="20"/>
          <w:lang w:val="es-UY" w:eastAsia="es-ES"/>
        </w:rPr>
        <w:t>Objetivos formativos</w:t>
      </w:r>
    </w:p>
    <w:p w14:paraId="51B79B82" w14:textId="77777777" w:rsidR="005D651D" w:rsidRPr="005D651D" w:rsidRDefault="005D651D" w:rsidP="001E4724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ES"/>
        </w:rPr>
      </w:pP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>Comprender los fundamentos epistemológicos y metodológicos que sustentan la psicología clínica desde una visión integral.</w:t>
      </w:r>
    </w:p>
    <w:p w14:paraId="0BD5BD65" w14:textId="77777777" w:rsidR="005D651D" w:rsidRPr="005D651D" w:rsidRDefault="005D651D" w:rsidP="001E4724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ES"/>
        </w:rPr>
      </w:pP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>Conocer y analizar las principales modalidades de intervención en psicología clínica.</w:t>
      </w:r>
    </w:p>
    <w:p w14:paraId="21CF8623" w14:textId="77777777" w:rsidR="005D651D" w:rsidRPr="005D651D" w:rsidRDefault="005D651D" w:rsidP="001E4724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ES"/>
        </w:rPr>
      </w:pP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>Desarrollar habilidades para la articulación de conocimientos teóricos con la práctica clínica.</w:t>
      </w:r>
    </w:p>
    <w:p w14:paraId="3159BA44" w14:textId="77777777" w:rsidR="005D651D" w:rsidRPr="005D651D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s-UY" w:eastAsia="es-ES"/>
        </w:rPr>
      </w:pPr>
      <w:r w:rsidRPr="005D651D">
        <w:rPr>
          <w:rFonts w:ascii="Arial" w:eastAsia="Times New Roman" w:hAnsi="Arial" w:cs="Arial"/>
          <w:b/>
          <w:bCs/>
          <w:sz w:val="20"/>
          <w:szCs w:val="20"/>
          <w:lang w:val="es-UY" w:eastAsia="es-ES"/>
        </w:rPr>
        <w:br/>
        <w:t> </w:t>
      </w:r>
    </w:p>
    <w:p w14:paraId="5A4B9C77" w14:textId="390AF967" w:rsidR="005D651D" w:rsidRPr="005D651D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s-UY" w:eastAsia="es-ES"/>
        </w:rPr>
      </w:pPr>
      <w:r w:rsidRPr="001E4724">
        <w:rPr>
          <w:rFonts w:ascii="Arial" w:eastAsia="Times New Roman" w:hAnsi="Arial" w:cs="Arial"/>
          <w:b/>
          <w:bCs/>
          <w:sz w:val="20"/>
          <w:szCs w:val="20"/>
          <w:lang w:val="es-UY" w:eastAsia="es-ES"/>
        </w:rPr>
        <w:t>Metodología</w:t>
      </w:r>
      <w:r w:rsidRPr="005D651D">
        <w:rPr>
          <w:rFonts w:ascii="Arial" w:eastAsia="Times New Roman" w:hAnsi="Arial" w:cs="Arial"/>
          <w:b/>
          <w:bCs/>
          <w:sz w:val="20"/>
          <w:szCs w:val="20"/>
          <w:lang w:val="es-UY" w:eastAsia="es-ES"/>
        </w:rPr>
        <w:t xml:space="preserve"> presencial</w:t>
      </w:r>
    </w:p>
    <w:p w14:paraId="21BE724D" w14:textId="77777777" w:rsidR="005D651D" w:rsidRPr="005D651D" w:rsidRDefault="005D651D" w:rsidP="001E4724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ES"/>
        </w:rPr>
      </w:pP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>Se trabajará a partir de conceptualizaciones teóricas y material clínico, propiciando el intercambio y la participación del estudiante en forma activa, que facilite la articulación teórico-clínica.</w:t>
      </w:r>
    </w:p>
    <w:p w14:paraId="2233AB1F" w14:textId="77777777" w:rsidR="005D651D" w:rsidRPr="005D651D" w:rsidRDefault="005D651D" w:rsidP="001E4724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ES"/>
        </w:rPr>
      </w:pP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>La cursada incluye la participación en actividades tales como ateneos u otras instancias de intercambio teórico-clínico organizadas por el Instituto de Psicología Clínica, cuando éstas involucren específicamente contenidos relativos al curso.</w:t>
      </w:r>
    </w:p>
    <w:p w14:paraId="3338921D" w14:textId="77777777" w:rsidR="005D651D" w:rsidRPr="005D651D" w:rsidRDefault="005D651D" w:rsidP="001E4724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ES"/>
        </w:rPr>
      </w:pP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>Se utilizará la plataforma EVA para comunicación con estudiantes y como espacio repositorio de materiales, casos clínicos y clases grabadas</w:t>
      </w:r>
    </w:p>
    <w:p w14:paraId="7390A4D5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s-UY" w:eastAsia="es-ES"/>
        </w:rPr>
      </w:pPr>
    </w:p>
    <w:p w14:paraId="4874E295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s-UY" w:eastAsia="es-ES"/>
        </w:rPr>
      </w:pPr>
    </w:p>
    <w:p w14:paraId="54E33CE2" w14:textId="38AC6393" w:rsidR="005D651D" w:rsidRPr="005D651D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s-UY" w:eastAsia="es-ES"/>
        </w:rPr>
      </w:pPr>
      <w:r w:rsidRPr="005D651D">
        <w:rPr>
          <w:rFonts w:ascii="Arial" w:eastAsia="Times New Roman" w:hAnsi="Arial" w:cs="Arial"/>
          <w:b/>
          <w:bCs/>
          <w:sz w:val="20"/>
          <w:szCs w:val="20"/>
          <w:lang w:val="es-UY" w:eastAsia="es-ES"/>
        </w:rPr>
        <w:t xml:space="preserve">Criterios de </w:t>
      </w:r>
      <w:r w:rsidRPr="001E4724">
        <w:rPr>
          <w:rFonts w:ascii="Arial" w:eastAsia="Times New Roman" w:hAnsi="Arial" w:cs="Arial"/>
          <w:b/>
          <w:bCs/>
          <w:sz w:val="20"/>
          <w:szCs w:val="20"/>
          <w:lang w:val="es-UY" w:eastAsia="es-ES"/>
        </w:rPr>
        <w:t>evaluación</w:t>
      </w:r>
    </w:p>
    <w:p w14:paraId="7EE1A8C2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s-UY" w:eastAsia="es-ES"/>
        </w:rPr>
      </w:pPr>
    </w:p>
    <w:p w14:paraId="1EB82650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ES"/>
        </w:rPr>
      </w:pP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 xml:space="preserve">Se valorará en la o el estudiante si son capaces </w:t>
      </w:r>
      <w:r w:rsidRPr="001E4724">
        <w:rPr>
          <w:rFonts w:ascii="Arial" w:eastAsia="Times New Roman" w:hAnsi="Arial" w:cs="Arial"/>
          <w:sz w:val="20"/>
          <w:szCs w:val="20"/>
          <w:lang w:val="es-UY" w:eastAsia="es-ES"/>
        </w:rPr>
        <w:t xml:space="preserve">de: </w:t>
      </w:r>
    </w:p>
    <w:p w14:paraId="701FC05C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ES"/>
        </w:rPr>
      </w:pPr>
      <w:r w:rsidRPr="001E4724">
        <w:rPr>
          <w:rFonts w:ascii="Arial" w:eastAsia="Times New Roman" w:hAnsi="Arial" w:cs="Arial"/>
          <w:sz w:val="20"/>
          <w:szCs w:val="20"/>
          <w:lang w:val="es-UY" w:eastAsia="es-ES"/>
        </w:rPr>
        <w:t>Define</w:t>
      </w: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 xml:space="preserve"> e identifica elementos del método clínico</w:t>
      </w:r>
      <w:r w:rsidRPr="001E4724">
        <w:rPr>
          <w:rFonts w:ascii="Arial" w:eastAsia="Times New Roman" w:hAnsi="Arial" w:cs="Arial"/>
          <w:sz w:val="20"/>
          <w:szCs w:val="20"/>
          <w:lang w:val="es-UY" w:eastAsia="es-ES"/>
        </w:rPr>
        <w:t>.</w:t>
      </w: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 xml:space="preserve"> </w:t>
      </w:r>
    </w:p>
    <w:p w14:paraId="21A4104D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ES"/>
        </w:rPr>
      </w:pPr>
      <w:r w:rsidRPr="001E4724">
        <w:rPr>
          <w:rFonts w:ascii="Arial" w:eastAsia="Times New Roman" w:hAnsi="Arial" w:cs="Arial"/>
          <w:sz w:val="20"/>
          <w:szCs w:val="20"/>
          <w:lang w:val="es-UY" w:eastAsia="es-ES"/>
        </w:rPr>
        <w:t>Distingue</w:t>
      </w: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 xml:space="preserve"> las características de las diferentes modalidades de intervención</w:t>
      </w:r>
      <w:r w:rsidRPr="001E4724">
        <w:rPr>
          <w:rFonts w:ascii="Arial" w:eastAsia="Times New Roman" w:hAnsi="Arial" w:cs="Arial"/>
          <w:sz w:val="20"/>
          <w:szCs w:val="20"/>
          <w:lang w:val="es-UY" w:eastAsia="es-ES"/>
        </w:rPr>
        <w:t>.</w:t>
      </w: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 xml:space="preserve"> </w:t>
      </w:r>
    </w:p>
    <w:p w14:paraId="1FCE9101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ES"/>
        </w:rPr>
      </w:pPr>
      <w:r w:rsidRPr="001E4724">
        <w:rPr>
          <w:rFonts w:ascii="Arial" w:eastAsia="Times New Roman" w:hAnsi="Arial" w:cs="Arial"/>
          <w:sz w:val="20"/>
          <w:szCs w:val="20"/>
          <w:lang w:val="es-UY" w:eastAsia="es-ES"/>
        </w:rPr>
        <w:t>Identifica</w:t>
      </w: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 xml:space="preserve"> distintos niveles </w:t>
      </w:r>
      <w:r w:rsidRPr="001E4724">
        <w:rPr>
          <w:rFonts w:ascii="Arial" w:eastAsia="Times New Roman" w:hAnsi="Arial" w:cs="Arial"/>
          <w:sz w:val="20"/>
          <w:szCs w:val="20"/>
          <w:lang w:val="es-UY" w:eastAsia="es-ES"/>
        </w:rPr>
        <w:t>diagnósticos</w:t>
      </w: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 xml:space="preserve"> en el abordaje de una situación clínica</w:t>
      </w:r>
      <w:r w:rsidRPr="001E4724">
        <w:rPr>
          <w:rFonts w:ascii="Arial" w:eastAsia="Times New Roman" w:hAnsi="Arial" w:cs="Arial"/>
          <w:sz w:val="20"/>
          <w:szCs w:val="20"/>
          <w:lang w:val="es-UY" w:eastAsia="es-ES"/>
        </w:rPr>
        <w:t>.</w:t>
      </w: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 xml:space="preserve"> </w:t>
      </w:r>
    </w:p>
    <w:p w14:paraId="7D8DE4A3" w14:textId="77777777" w:rsidR="005D651D" w:rsidRPr="001E4724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ES"/>
        </w:rPr>
      </w:pPr>
      <w:r w:rsidRPr="001E4724">
        <w:rPr>
          <w:rFonts w:ascii="Arial" w:eastAsia="Times New Roman" w:hAnsi="Arial" w:cs="Arial"/>
          <w:sz w:val="20"/>
          <w:szCs w:val="20"/>
          <w:lang w:val="es-UY" w:eastAsia="es-ES"/>
        </w:rPr>
        <w:t>E</w:t>
      </w: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>labora hipótesis a partir de un material clínico</w:t>
      </w:r>
      <w:r w:rsidRPr="001E4724">
        <w:rPr>
          <w:rFonts w:ascii="Arial" w:eastAsia="Times New Roman" w:hAnsi="Arial" w:cs="Arial"/>
          <w:sz w:val="20"/>
          <w:szCs w:val="20"/>
          <w:lang w:val="es-UY" w:eastAsia="es-ES"/>
        </w:rPr>
        <w:t>.</w:t>
      </w: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 xml:space="preserve"> </w:t>
      </w:r>
    </w:p>
    <w:p w14:paraId="2CA39A0C" w14:textId="772C7CCA" w:rsidR="005D651D" w:rsidRPr="005D651D" w:rsidRDefault="005D651D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val="es-UY" w:eastAsia="es-ES"/>
        </w:rPr>
      </w:pPr>
      <w:r w:rsidRPr="001E4724">
        <w:rPr>
          <w:rFonts w:ascii="Arial" w:eastAsia="Times New Roman" w:hAnsi="Arial" w:cs="Arial"/>
          <w:sz w:val="20"/>
          <w:szCs w:val="20"/>
          <w:lang w:val="es-UY" w:eastAsia="es-ES"/>
        </w:rPr>
        <w:t>P</w:t>
      </w:r>
      <w:r w:rsidRPr="005D651D">
        <w:rPr>
          <w:rFonts w:ascii="Arial" w:eastAsia="Times New Roman" w:hAnsi="Arial" w:cs="Arial"/>
          <w:sz w:val="20"/>
          <w:szCs w:val="20"/>
          <w:lang w:val="es-UY" w:eastAsia="es-ES"/>
        </w:rPr>
        <w:t>lantea una estrategia clínica y la resolución de la consulta.</w:t>
      </w:r>
    </w:p>
    <w:p w14:paraId="730FB99A" w14:textId="77777777" w:rsidR="00315CC1" w:rsidRPr="001E4724" w:rsidRDefault="00315CC1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s-UY" w:eastAsia="es-ES"/>
        </w:rPr>
      </w:pPr>
    </w:p>
    <w:p w14:paraId="485E568A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66123DC1" w14:textId="1F7C440D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Dispositivos de </w:t>
      </w:r>
      <w:r w:rsidRPr="001E472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evaluación</w:t>
      </w:r>
    </w:p>
    <w:p w14:paraId="64D80248" w14:textId="73FAEFC8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Se i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mplementarán dos evaluaciones parciales presenciales individuales. Las pruebas parciales son obligatorias. La primera de 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>realizará fines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>mayo y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 la segunda fines de junio.  La 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>calificación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 final del curso se compone a partir de las calificaciones de ambos parciales pudiendo aprobar el curso o ir a examen reglamentado o libre. </w:t>
      </w:r>
    </w:p>
    <w:p w14:paraId="37185AAE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5B9D1A" w14:textId="7EEA1F0A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- La no presentación a los parciales determinará la realización del 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>examen en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 calidad de libre.</w:t>
      </w:r>
    </w:p>
    <w:p w14:paraId="21A6CAC2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BD45ED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- Si la calificación es de Muy Insuficiente en ambos parciales no se aprueba el curso y el o la estudiante podrá rendir examen en calidad de libre.</w:t>
      </w:r>
    </w:p>
    <w:p w14:paraId="76305994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E983B8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- Un parcial insuficiente y un parcial con alguna de las categorías de aprobación supondrá el derecho a rendir examen en calidad de reglamentado/da.</w:t>
      </w:r>
    </w:p>
    <w:p w14:paraId="146EF48D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A87C5E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- Cualquier categoría de aprobación en los dos parciales supone la aprobación del curso sin el requisito de rendir examen</w:t>
      </w:r>
    </w:p>
    <w:p w14:paraId="73EAA8F9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C6160AE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b/>
          <w:bCs/>
          <w:sz w:val="20"/>
          <w:szCs w:val="20"/>
          <w:lang w:eastAsia="es-ES"/>
        </w:rPr>
        <w:lastRenderedPageBreak/>
        <w:t>Competencias</w:t>
      </w:r>
    </w:p>
    <w:p w14:paraId="37B549D5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EC6AF62" w14:textId="76B5CE39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Se espera que, al finalizar el curso, el estudiante logre:</w:t>
      </w:r>
    </w:p>
    <w:p w14:paraId="7742F09B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155860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Definir e identificar elementos del método clínico.</w:t>
      </w:r>
    </w:p>
    <w:p w14:paraId="73EC54A1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C77AB0F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Distinguir las características de las diferentes modalidades de intervención.</w:t>
      </w:r>
    </w:p>
    <w:p w14:paraId="25EA40FB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CBB18E" w14:textId="166820E6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Identificar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 distintos niveles 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>diagnósticos</w:t>
      </w:r>
      <w:r w:rsidRPr="001E4724">
        <w:rPr>
          <w:rFonts w:ascii="Arial" w:eastAsia="Times New Roman" w:hAnsi="Arial" w:cs="Arial"/>
          <w:sz w:val="20"/>
          <w:szCs w:val="20"/>
          <w:lang w:eastAsia="es-ES"/>
        </w:rPr>
        <w:t xml:space="preserve"> en el abordaje de una situación clínica.</w:t>
      </w:r>
    </w:p>
    <w:p w14:paraId="6F675C4A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4C7C90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Elaborar hipótesis a partir de un material clínico.</w:t>
      </w:r>
    </w:p>
    <w:p w14:paraId="70539FEA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32ABABC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s-ES"/>
        </w:rPr>
      </w:pPr>
      <w:r w:rsidRPr="001E4724">
        <w:rPr>
          <w:rFonts w:ascii="Arial" w:eastAsia="Times New Roman" w:hAnsi="Arial" w:cs="Arial"/>
          <w:sz w:val="20"/>
          <w:szCs w:val="20"/>
          <w:lang w:eastAsia="es-ES"/>
        </w:rPr>
        <w:t>Plantear una estrategia clínica y la resolución de la consulta.</w:t>
      </w:r>
    </w:p>
    <w:p w14:paraId="10DFFFCE" w14:textId="77777777" w:rsidR="001E4724" w:rsidRPr="001E4724" w:rsidRDefault="001E4724" w:rsidP="001E4724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4B1ED97" w14:textId="77777777" w:rsidR="001E4724" w:rsidRDefault="001E47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6D763B6F" w14:textId="77777777" w:rsidR="001E4724" w:rsidRDefault="001E47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6A2AFDA" w14:textId="77777777" w:rsidR="001E4724" w:rsidRDefault="001E47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8F1603E" w14:textId="77777777" w:rsidR="001E4724" w:rsidRPr="00315CC1" w:rsidRDefault="001E472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6623FD8E" w14:textId="77777777" w:rsidR="00315CC1" w:rsidRPr="00315CC1" w:rsidRDefault="00315C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3589AEF1" w14:textId="77777777" w:rsidR="00312EB4" w:rsidRPr="00315CC1" w:rsidRDefault="00312EB4">
      <w:pPr>
        <w:rPr>
          <w:rFonts w:ascii="Arial" w:hAnsi="Arial" w:cs="Arial"/>
        </w:rPr>
      </w:pPr>
    </w:p>
    <w:sectPr w:rsidR="00312EB4" w:rsidRPr="00315CC1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0D6"/>
    <w:multiLevelType w:val="multilevel"/>
    <w:tmpl w:val="83BC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2F406E4E"/>
    <w:multiLevelType w:val="multilevel"/>
    <w:tmpl w:val="F82A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2027A5"/>
    <w:multiLevelType w:val="multilevel"/>
    <w:tmpl w:val="40E611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FEB6A78"/>
    <w:multiLevelType w:val="multilevel"/>
    <w:tmpl w:val="B01E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F20C7F"/>
    <w:multiLevelType w:val="multilevel"/>
    <w:tmpl w:val="2A52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211723685">
    <w:abstractNumId w:val="4"/>
  </w:num>
  <w:num w:numId="2" w16cid:durableId="770667884">
    <w:abstractNumId w:val="0"/>
  </w:num>
  <w:num w:numId="3" w16cid:durableId="632059371">
    <w:abstractNumId w:val="2"/>
  </w:num>
  <w:num w:numId="4" w16cid:durableId="2107656082">
    <w:abstractNumId w:val="1"/>
  </w:num>
  <w:num w:numId="5" w16cid:durableId="760905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B4"/>
    <w:rsid w:val="001E4724"/>
    <w:rsid w:val="002E07E9"/>
    <w:rsid w:val="002E309C"/>
    <w:rsid w:val="00312EB4"/>
    <w:rsid w:val="00315CC1"/>
    <w:rsid w:val="005D651D"/>
    <w:rsid w:val="007E7DCF"/>
    <w:rsid w:val="0099286A"/>
    <w:rsid w:val="00A255E2"/>
    <w:rsid w:val="00CB359E"/>
    <w:rsid w:val="00E658FC"/>
    <w:rsid w:val="00FB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AE63"/>
  <w15:docId w15:val="{3DC5E32B-ACE3-4C65-9318-4DBA3091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33C35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543380"/>
    <w:rPr>
      <w:i/>
      <w:iCs/>
    </w:rPr>
  </w:style>
  <w:style w:type="character" w:customStyle="1" w:styleId="ListLabel1">
    <w:name w:val="ListLabel 1"/>
    <w:qFormat/>
    <w:rPr>
      <w:rFonts w:ascii="Arial" w:hAnsi="Arial"/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Arial" w:hAnsi="Arial"/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Arial" w:eastAsia="Times New Roman" w:hAnsi="Arial" w:cs="Arial"/>
      <w:sz w:val="20"/>
      <w:szCs w:val="20"/>
      <w:lang w:eastAsia="es-ES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33C3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5433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1464</Words>
  <Characters>9698</Characters>
  <Application>Microsoft Office Word</Application>
  <DocSecurity>0</DocSecurity>
  <Lines>225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Nelson Ponce</cp:lastModifiedBy>
  <cp:revision>2</cp:revision>
  <cp:lastPrinted>2024-03-14T23:50:00Z</cp:lastPrinted>
  <dcterms:created xsi:type="dcterms:W3CDTF">2026-03-16T20:48:00Z</dcterms:created>
  <dcterms:modified xsi:type="dcterms:W3CDTF">2026-03-16T20:48:00Z</dcterms:modified>
  <dc:language>es-UY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