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C434" w14:textId="493FF6E5" w:rsidR="00195E60" w:rsidRDefault="00195E60" w:rsidP="00C91FA2">
      <w:pPr>
        <w:jc w:val="center"/>
        <w:rPr>
          <w:b/>
          <w:bCs/>
        </w:rPr>
      </w:pPr>
      <w:r w:rsidRPr="00C91FA2">
        <w:rPr>
          <w:b/>
          <w:bCs/>
        </w:rPr>
        <w:t>Guía para el trabajo final:</w:t>
      </w:r>
    </w:p>
    <w:p w14:paraId="467FABB4" w14:textId="77777777" w:rsidR="00C91FA2" w:rsidRPr="00C91FA2" w:rsidRDefault="00C91FA2" w:rsidP="00C91FA2">
      <w:pPr>
        <w:jc w:val="center"/>
        <w:rPr>
          <w:b/>
          <w:bCs/>
        </w:rPr>
      </w:pPr>
    </w:p>
    <w:p w14:paraId="0166CD32" w14:textId="77777777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MÓDULO: "Lengua, cultura y educación en la frontera"</w:t>
      </w:r>
    </w:p>
    <w:p w14:paraId="5FDAA385" w14:textId="77777777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Propósito general</w:t>
      </w:r>
    </w:p>
    <w:p w14:paraId="61C01389" w14:textId="77777777" w:rsidR="00195E60" w:rsidRPr="00195E60" w:rsidRDefault="00195E60" w:rsidP="00195E60">
      <w:r w:rsidRPr="00195E60">
        <w:t>Analizar críticamente la relación entre lengua, cultura y educación en el contexto fronterizo Uruguay–Brasil, integrando los conceptos trabajados durante el curso (lengua, identidad, hibridaje, política lingüística, minorías, portuñol, etc.) y la bibliografía de referencia.</w:t>
      </w:r>
    </w:p>
    <w:p w14:paraId="20BA5B7E" w14:textId="6EA9E4CA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Formato y modalidad</w:t>
      </w:r>
    </w:p>
    <w:p w14:paraId="2854B9C1" w14:textId="37EC0B56" w:rsidR="00195E60" w:rsidRPr="00195E60" w:rsidRDefault="00195E60" w:rsidP="00195E60">
      <w:pPr>
        <w:numPr>
          <w:ilvl w:val="0"/>
          <w:numId w:val="1"/>
        </w:numPr>
      </w:pPr>
      <w:r w:rsidRPr="00195E60">
        <w:t>Trabajo grupal</w:t>
      </w:r>
      <w:r w:rsidR="001E65F2">
        <w:t xml:space="preserve"> (pares) </w:t>
      </w:r>
      <w:r w:rsidRPr="00195E60">
        <w:t>o individual.</w:t>
      </w:r>
    </w:p>
    <w:p w14:paraId="5566F7CE" w14:textId="77777777" w:rsidR="00195E60" w:rsidRPr="00195E60" w:rsidRDefault="00195E60" w:rsidP="00195E60">
      <w:pPr>
        <w:numPr>
          <w:ilvl w:val="0"/>
          <w:numId w:val="1"/>
        </w:numPr>
      </w:pPr>
      <w:r w:rsidRPr="00195E60">
        <w:t>Presentación oral (10–12 minutos) apoyada en recursos visuales (diapositivas, afiche digital, video breve o línea de tiempo interactiva).</w:t>
      </w:r>
    </w:p>
    <w:p w14:paraId="6A3D79BE" w14:textId="77777777" w:rsidR="00195E60" w:rsidRPr="00195E60" w:rsidRDefault="00195E60" w:rsidP="00195E60">
      <w:pPr>
        <w:numPr>
          <w:ilvl w:val="0"/>
          <w:numId w:val="1"/>
        </w:numPr>
      </w:pPr>
      <w:r w:rsidRPr="00195E60">
        <w:t>Entrega escrita breve (1 página) con síntesis de ideas clave y referencias.</w:t>
      </w:r>
    </w:p>
    <w:p w14:paraId="53745B0B" w14:textId="5324BD6A" w:rsidR="00195E60" w:rsidRPr="00195E60" w:rsidRDefault="00195E60" w:rsidP="00195E60"/>
    <w:p w14:paraId="31D599DA" w14:textId="77777777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Temas sugeridos</w:t>
      </w:r>
    </w:p>
    <w:p w14:paraId="6A7C0667" w14:textId="757BA380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1️</w:t>
      </w:r>
      <w:r w:rsidR="00E31B32">
        <w:rPr>
          <w:rFonts w:ascii="Segoe UI Symbol" w:hAnsi="Segoe UI Symbol" w:cs="Segoe UI Symbol"/>
          <w:b/>
          <w:bCs/>
        </w:rPr>
        <w:t xml:space="preserve">. </w:t>
      </w:r>
      <w:r w:rsidR="001E65F2">
        <w:rPr>
          <w:rFonts w:ascii="Segoe UI Symbol" w:hAnsi="Segoe UI Symbol" w:cs="Segoe UI Symbol"/>
          <w:b/>
          <w:bCs/>
        </w:rPr>
        <w:t>L</w:t>
      </w:r>
      <w:r w:rsidRPr="00195E60">
        <w:rPr>
          <w:b/>
          <w:bCs/>
        </w:rPr>
        <w:t>a lengua a través del tiempo en la frontera Uruguay- Brasil</w:t>
      </w:r>
    </w:p>
    <w:p w14:paraId="330E7ED3" w14:textId="77777777" w:rsidR="00195E60" w:rsidRPr="00195E60" w:rsidRDefault="00195E60" w:rsidP="00195E60">
      <w:r w:rsidRPr="00195E60">
        <w:rPr>
          <w:b/>
          <w:bCs/>
        </w:rPr>
        <w:t>Objetivo:</w:t>
      </w:r>
      <w:r w:rsidRPr="00195E60">
        <w:t xml:space="preserve"> reconstruir la secuencia de hechos históricos, políticos y culturales que dan cuenta de la evolución de la lengua en frontera.</w:t>
      </w:r>
    </w:p>
    <w:p w14:paraId="4E244396" w14:textId="77777777" w:rsidR="00195E60" w:rsidRPr="00195E60" w:rsidRDefault="00195E60" w:rsidP="00195E60">
      <w:r w:rsidRPr="00195E60">
        <w:rPr>
          <w:b/>
          <w:bCs/>
        </w:rPr>
        <w:t>Producto</w:t>
      </w:r>
      <w:r w:rsidRPr="00195E60">
        <w:t>: Presentación de una línea de tiempo que muestre los hitos históricos, políticos y culturales relacionados con las lenguas en la frontera Uruguay–Brasil.</w:t>
      </w:r>
      <w:r w:rsidRPr="00195E60">
        <w:br/>
      </w:r>
      <w:r w:rsidRPr="00195E60">
        <w:rPr>
          <w:b/>
          <w:bCs/>
        </w:rPr>
        <w:t>Pistas:</w:t>
      </w:r>
    </w:p>
    <w:p w14:paraId="6041B0A6" w14:textId="77777777" w:rsidR="00195E60" w:rsidRPr="00195E60" w:rsidRDefault="00195E60" w:rsidP="00195E60">
      <w:pPr>
        <w:numPr>
          <w:ilvl w:val="0"/>
          <w:numId w:val="2"/>
        </w:numPr>
      </w:pPr>
      <w:r w:rsidRPr="00195E60">
        <w:t>Fundación de poblaciones; Ley de Educación Común (1877).</w:t>
      </w:r>
    </w:p>
    <w:p w14:paraId="5322C45E" w14:textId="77777777" w:rsidR="00195E60" w:rsidRPr="00195E60" w:rsidRDefault="00195E60" w:rsidP="00195E60">
      <w:pPr>
        <w:numPr>
          <w:ilvl w:val="0"/>
          <w:numId w:val="2"/>
        </w:numPr>
      </w:pPr>
      <w:r w:rsidRPr="00195E60">
        <w:t>Campañas puristas y discurso nacionalista.</w:t>
      </w:r>
    </w:p>
    <w:p w14:paraId="77D431D9" w14:textId="77777777" w:rsidR="00195E60" w:rsidRPr="00195E60" w:rsidRDefault="00195E60" w:rsidP="00195E60">
      <w:pPr>
        <w:numPr>
          <w:ilvl w:val="0"/>
          <w:numId w:val="2"/>
        </w:numPr>
      </w:pPr>
      <w:r w:rsidRPr="00195E60">
        <w:t>Integración MERCOSUR y políticas de diversidad.</w:t>
      </w:r>
    </w:p>
    <w:p w14:paraId="7847BED7" w14:textId="4DE676FB" w:rsidR="00E31B32" w:rsidRDefault="00195E60" w:rsidP="00A9210C">
      <w:pPr>
        <w:numPr>
          <w:ilvl w:val="0"/>
          <w:numId w:val="2"/>
        </w:numPr>
        <w:rPr>
          <w:b/>
          <w:bCs/>
        </w:rPr>
      </w:pPr>
      <w:r w:rsidRPr="00195E60">
        <w:t>Reconocimiento del portugués y del portuñol.</w:t>
      </w:r>
      <w:r w:rsidRPr="00195E60">
        <w:br/>
      </w:r>
      <w:r w:rsidRPr="00195E60">
        <w:rPr>
          <w:b/>
          <w:bCs/>
        </w:rPr>
        <w:t>Fuentes:</w:t>
      </w:r>
      <w:r w:rsidRPr="00195E60">
        <w:t xml:space="preserve"> Barrios (2006, 2016); Solana (2024); Bertolotti y Coll (2014)</w:t>
      </w:r>
    </w:p>
    <w:p w14:paraId="511F6CEC" w14:textId="1D6F6C41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2️</w:t>
      </w:r>
      <w:r w:rsidR="00E31B32">
        <w:rPr>
          <w:rFonts w:ascii="Segoe UI Symbol" w:hAnsi="Segoe UI Symbol" w:cs="Segoe UI Symbol"/>
          <w:b/>
          <w:bCs/>
        </w:rPr>
        <w:t xml:space="preserve">. </w:t>
      </w:r>
      <w:r w:rsidRPr="00195E60">
        <w:rPr>
          <w:b/>
          <w:bCs/>
        </w:rPr>
        <w:t>Lengua y cultura: hibridaje e identidad</w:t>
      </w:r>
    </w:p>
    <w:p w14:paraId="3DA28867" w14:textId="77777777" w:rsidR="00195E60" w:rsidRPr="00195E60" w:rsidRDefault="00195E60" w:rsidP="00195E60">
      <w:r w:rsidRPr="00195E60">
        <w:rPr>
          <w:b/>
          <w:bCs/>
        </w:rPr>
        <w:t>Objetivo:</w:t>
      </w:r>
      <w:r w:rsidRPr="00195E60">
        <w:t xml:space="preserve"> analizar la relación entre lengua y cultura en la frontera desde el concepto de </w:t>
      </w:r>
      <w:r w:rsidRPr="00195E60">
        <w:rPr>
          <w:i/>
          <w:iCs/>
        </w:rPr>
        <w:t>hibridaje</w:t>
      </w:r>
      <w:r w:rsidRPr="00195E60">
        <w:t>.</w:t>
      </w:r>
    </w:p>
    <w:p w14:paraId="1F57BC20" w14:textId="77777777" w:rsidR="00195E60" w:rsidRPr="00195E60" w:rsidRDefault="00195E60" w:rsidP="00195E60">
      <w:r w:rsidRPr="00195E60">
        <w:rPr>
          <w:b/>
          <w:bCs/>
        </w:rPr>
        <w:lastRenderedPageBreak/>
        <w:t>Producto:</w:t>
      </w:r>
      <w:r w:rsidRPr="00195E60">
        <w:t xml:space="preserve"> presentación reflexiva con ejemplos locales o mediáticos.</w:t>
      </w:r>
      <w:r w:rsidRPr="00195E60">
        <w:br/>
      </w:r>
      <w:r w:rsidRPr="00195E60">
        <w:rPr>
          <w:b/>
          <w:bCs/>
        </w:rPr>
        <w:t>Pistas:</w:t>
      </w:r>
    </w:p>
    <w:p w14:paraId="03D8CFE6" w14:textId="77777777" w:rsidR="00195E60" w:rsidRPr="00195E60" w:rsidRDefault="00195E60" w:rsidP="00195E60">
      <w:pPr>
        <w:numPr>
          <w:ilvl w:val="0"/>
          <w:numId w:val="3"/>
        </w:numPr>
      </w:pPr>
      <w:r w:rsidRPr="00195E60">
        <w:t>Lengua como práctica social y cultural.</w:t>
      </w:r>
    </w:p>
    <w:p w14:paraId="2FAC6DD7" w14:textId="77777777" w:rsidR="00195E60" w:rsidRPr="00195E60" w:rsidRDefault="00195E60" w:rsidP="00195E60">
      <w:pPr>
        <w:numPr>
          <w:ilvl w:val="0"/>
          <w:numId w:val="3"/>
        </w:numPr>
      </w:pPr>
      <w:r w:rsidRPr="00195E60">
        <w:t>Portuñol y repertorios mixtos como expresión de identidad.</w:t>
      </w:r>
    </w:p>
    <w:p w14:paraId="04FEAF4B" w14:textId="3AC1F6B1" w:rsidR="00195E60" w:rsidRPr="00195E60" w:rsidRDefault="00195E60" w:rsidP="00195E60">
      <w:pPr>
        <w:numPr>
          <w:ilvl w:val="0"/>
          <w:numId w:val="3"/>
        </w:numPr>
      </w:pPr>
      <w:r w:rsidRPr="00195E60">
        <w:t>Posiciones teóricas: Grimson, Lie, Barrios.</w:t>
      </w:r>
    </w:p>
    <w:p w14:paraId="68CC21D9" w14:textId="77777777" w:rsidR="00E31B32" w:rsidRDefault="00E31B32" w:rsidP="00195E60">
      <w:pPr>
        <w:rPr>
          <w:b/>
          <w:bCs/>
        </w:rPr>
      </w:pPr>
    </w:p>
    <w:p w14:paraId="39979016" w14:textId="0134FC9F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3️</w:t>
      </w:r>
      <w:r w:rsidR="00E31B32">
        <w:rPr>
          <w:rFonts w:ascii="Segoe UI Symbol" w:hAnsi="Segoe UI Symbol" w:cs="Segoe UI Symbol"/>
          <w:b/>
          <w:bCs/>
        </w:rPr>
        <w:t xml:space="preserve">. </w:t>
      </w:r>
      <w:r w:rsidRPr="00195E60">
        <w:rPr>
          <w:b/>
          <w:bCs/>
        </w:rPr>
        <w:t>Lengua y educación</w:t>
      </w:r>
    </w:p>
    <w:p w14:paraId="067F6C8B" w14:textId="77777777" w:rsidR="00195E60" w:rsidRPr="00195E60" w:rsidRDefault="00195E60" w:rsidP="00195E60">
      <w:r w:rsidRPr="00195E60">
        <w:rPr>
          <w:b/>
          <w:bCs/>
        </w:rPr>
        <w:t>Objetivo:</w:t>
      </w:r>
      <w:r w:rsidRPr="00195E60">
        <w:t xml:space="preserve"> examinar cómo las políticas educativas uruguayas han tratado la cuestión lingüística y sus efectos sobre las comunidades fronterizas.</w:t>
      </w:r>
    </w:p>
    <w:p w14:paraId="6173CE16" w14:textId="77777777" w:rsidR="00195E60" w:rsidRPr="00195E60" w:rsidRDefault="00195E60" w:rsidP="00195E60">
      <w:r w:rsidRPr="00195E60">
        <w:rPr>
          <w:b/>
          <w:bCs/>
        </w:rPr>
        <w:t>Producto</w:t>
      </w:r>
      <w:r w:rsidRPr="00195E60">
        <w:t>: Presentación breve y crítica, con apoyo visual</w:t>
      </w:r>
      <w:r w:rsidRPr="00195E60">
        <w:br/>
      </w:r>
      <w:r w:rsidRPr="00195E60">
        <w:rPr>
          <w:b/>
          <w:bCs/>
        </w:rPr>
        <w:t>Pistas:</w:t>
      </w:r>
    </w:p>
    <w:p w14:paraId="32B607AC" w14:textId="77777777" w:rsidR="00195E60" w:rsidRPr="00195E60" w:rsidRDefault="00195E60" w:rsidP="00195E60">
      <w:pPr>
        <w:numPr>
          <w:ilvl w:val="0"/>
          <w:numId w:val="4"/>
        </w:numPr>
      </w:pPr>
      <w:r w:rsidRPr="00195E60">
        <w:t>Educación Común (Varela, 1877) y Ley General de Educación (2008).</w:t>
      </w:r>
    </w:p>
    <w:p w14:paraId="0C51179F" w14:textId="77777777" w:rsidR="00195E60" w:rsidRPr="00195E60" w:rsidRDefault="00195E60" w:rsidP="00195E60">
      <w:pPr>
        <w:numPr>
          <w:ilvl w:val="0"/>
          <w:numId w:val="4"/>
        </w:numPr>
      </w:pPr>
      <w:r w:rsidRPr="00195E60">
        <w:t>Políticas lingüísticas nacionales vs. post-MERCOSUR.</w:t>
      </w:r>
    </w:p>
    <w:p w14:paraId="1E03E2D7" w14:textId="548E24CF" w:rsidR="00195E60" w:rsidRPr="00195E60" w:rsidRDefault="00195E60" w:rsidP="00195E60">
      <w:pPr>
        <w:numPr>
          <w:ilvl w:val="0"/>
          <w:numId w:val="4"/>
        </w:numPr>
      </w:pPr>
      <w:r w:rsidRPr="00195E60">
        <w:t>Escuela, lengua materna y justicia educativa.</w:t>
      </w:r>
      <w:r w:rsidRPr="00195E60">
        <w:br/>
      </w:r>
      <w:r w:rsidRPr="00195E60">
        <w:rPr>
          <w:b/>
          <w:bCs/>
        </w:rPr>
        <w:t>Fuentes:</w:t>
      </w:r>
      <w:r w:rsidRPr="00195E60">
        <w:t xml:space="preserve"> Solana (2024); Behares (2009); Barrios (2016); </w:t>
      </w:r>
      <w:r w:rsidR="00617125">
        <w:t>Nossar (2014)</w:t>
      </w:r>
    </w:p>
    <w:p w14:paraId="16220ECD" w14:textId="5DA7E025" w:rsidR="00195E60" w:rsidRPr="00195E60" w:rsidRDefault="00195E60" w:rsidP="00195E60"/>
    <w:p w14:paraId="339E86E5" w14:textId="7D69C497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4️</w:t>
      </w:r>
      <w:r w:rsidR="00E31B32">
        <w:rPr>
          <w:rFonts w:ascii="Segoe UI Symbol" w:hAnsi="Segoe UI Symbol" w:cs="Segoe UI Symbol"/>
          <w:b/>
          <w:bCs/>
        </w:rPr>
        <w:t xml:space="preserve">. </w:t>
      </w:r>
      <w:r w:rsidRPr="00195E60">
        <w:rPr>
          <w:b/>
          <w:bCs/>
        </w:rPr>
        <w:t>Del estigma al patrimonio: el portuñol en la cultura</w:t>
      </w:r>
    </w:p>
    <w:p w14:paraId="63A9D069" w14:textId="77777777" w:rsidR="00195E60" w:rsidRPr="00195E60" w:rsidRDefault="00195E60" w:rsidP="00195E60">
      <w:r w:rsidRPr="00195E60">
        <w:rPr>
          <w:b/>
          <w:bCs/>
        </w:rPr>
        <w:t>Objetivo:</w:t>
      </w:r>
      <w:r w:rsidRPr="00195E60">
        <w:t xml:space="preserve"> explorar cómo el portuñol pasó de ser considerado un estigma a buscar su reconocimiento como patrimonio inmaterial.</w:t>
      </w:r>
    </w:p>
    <w:p w14:paraId="04AD4874" w14:textId="14164D3F" w:rsidR="00195E60" w:rsidRPr="001E65F2" w:rsidRDefault="00195E60" w:rsidP="00195E60">
      <w:pPr>
        <w:rPr>
          <w:b/>
          <w:bCs/>
        </w:rPr>
      </w:pPr>
      <w:r w:rsidRPr="00195E60">
        <w:t>Producto: presentación breve con apoyo audiovisual</w:t>
      </w:r>
      <w:r w:rsidRPr="00195E60">
        <w:br/>
      </w:r>
      <w:r w:rsidRPr="00195E60">
        <w:rPr>
          <w:b/>
          <w:bCs/>
        </w:rPr>
        <w:t>Pistas:</w:t>
      </w:r>
    </w:p>
    <w:p w14:paraId="06C14ABC" w14:textId="77777777" w:rsidR="00195E60" w:rsidRPr="00195E60" w:rsidRDefault="00195E60" w:rsidP="00195E60">
      <w:pPr>
        <w:numPr>
          <w:ilvl w:val="0"/>
          <w:numId w:val="5"/>
        </w:numPr>
      </w:pPr>
      <w:r w:rsidRPr="00195E60">
        <w:t xml:space="preserve">Movimiento </w:t>
      </w:r>
      <w:r w:rsidRPr="00195E60">
        <w:rPr>
          <w:i/>
          <w:iCs/>
        </w:rPr>
        <w:t>Jodido Bushinshe</w:t>
      </w:r>
      <w:r w:rsidRPr="00195E60">
        <w:t>, arte y música fronteriza.</w:t>
      </w:r>
    </w:p>
    <w:p w14:paraId="405CB170" w14:textId="77777777" w:rsidR="00195E60" w:rsidRPr="00195E60" w:rsidRDefault="00195E60" w:rsidP="00195E60">
      <w:pPr>
        <w:numPr>
          <w:ilvl w:val="0"/>
          <w:numId w:val="5"/>
        </w:numPr>
      </w:pPr>
      <w:r w:rsidRPr="00195E60">
        <w:t>Producciones culturales en portuñol (poesía, teatro, redes).</w:t>
      </w:r>
    </w:p>
    <w:p w14:paraId="627BB32B" w14:textId="7B04E952" w:rsidR="00195E60" w:rsidRPr="00195E60" w:rsidRDefault="00195E60" w:rsidP="00195E60">
      <w:pPr>
        <w:numPr>
          <w:ilvl w:val="0"/>
          <w:numId w:val="5"/>
        </w:numPr>
      </w:pPr>
      <w:r w:rsidRPr="00195E60">
        <w:t>Portuñol como signo de resistencia cultural.</w:t>
      </w:r>
      <w:r w:rsidRPr="00195E60">
        <w:br/>
      </w:r>
      <w:r w:rsidRPr="00195E60">
        <w:rPr>
          <w:b/>
          <w:bCs/>
        </w:rPr>
        <w:t>Fuentes:</w:t>
      </w:r>
      <w:r w:rsidRPr="00195E60">
        <w:t xml:space="preserve"> Barrios (2006), materiales MEC Rivera, Solana (slides 44–47).</w:t>
      </w:r>
    </w:p>
    <w:p w14:paraId="3E956844" w14:textId="148B408B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5️</w:t>
      </w:r>
      <w:r w:rsidR="00E31B32">
        <w:rPr>
          <w:rFonts w:ascii="Segoe UI Symbol" w:hAnsi="Segoe UI Symbol" w:cs="Segoe UI Symbol"/>
          <w:b/>
          <w:bCs/>
        </w:rPr>
        <w:t xml:space="preserve">. </w:t>
      </w:r>
      <w:r w:rsidRPr="00195E60">
        <w:rPr>
          <w:b/>
          <w:bCs/>
        </w:rPr>
        <w:t>Diversidad lingüística, derechos y globalización</w:t>
      </w:r>
    </w:p>
    <w:p w14:paraId="04CDC4E9" w14:textId="77777777" w:rsidR="00195E60" w:rsidRPr="00195E60" w:rsidRDefault="00195E60" w:rsidP="00195E60">
      <w:r w:rsidRPr="00195E60">
        <w:rPr>
          <w:b/>
          <w:bCs/>
        </w:rPr>
        <w:t>Objetivo:</w:t>
      </w:r>
      <w:r w:rsidRPr="00195E60">
        <w:t xml:space="preserve"> reflexionar sobre la diversidad lingüística como un derecho y su papel en la democracia y la justicia social.</w:t>
      </w:r>
    </w:p>
    <w:p w14:paraId="6507C7B4" w14:textId="77777777" w:rsidR="00195E60" w:rsidRPr="00195E60" w:rsidRDefault="00195E60" w:rsidP="00195E60">
      <w:r w:rsidRPr="00195E60">
        <w:rPr>
          <w:b/>
          <w:bCs/>
        </w:rPr>
        <w:lastRenderedPageBreak/>
        <w:t>Producto</w:t>
      </w:r>
      <w:r w:rsidRPr="00195E60">
        <w:t>: Presentación breve que desarrolle el tema y proponga preguntas para un debate.</w:t>
      </w:r>
      <w:r w:rsidRPr="00195E60">
        <w:br/>
      </w:r>
      <w:r w:rsidRPr="00195E60">
        <w:rPr>
          <w:b/>
          <w:bCs/>
        </w:rPr>
        <w:t>Pistas:</w:t>
      </w:r>
    </w:p>
    <w:p w14:paraId="768532E8" w14:textId="77777777" w:rsidR="00195E60" w:rsidRPr="00195E60" w:rsidRDefault="00195E60" w:rsidP="00195E60">
      <w:pPr>
        <w:numPr>
          <w:ilvl w:val="0"/>
          <w:numId w:val="6"/>
        </w:numPr>
      </w:pPr>
      <w:r w:rsidRPr="00195E60">
        <w:t>Declaración de los Derechos Lingüísticos (1996).</w:t>
      </w:r>
    </w:p>
    <w:p w14:paraId="6EFEEB69" w14:textId="77777777" w:rsidR="00195E60" w:rsidRPr="00195E60" w:rsidRDefault="00195E60" w:rsidP="00195E60">
      <w:pPr>
        <w:numPr>
          <w:ilvl w:val="0"/>
          <w:numId w:val="6"/>
        </w:numPr>
      </w:pPr>
      <w:r w:rsidRPr="00195E60">
        <w:t>Ley General de Educación (2008), artículos 8 y 40.</w:t>
      </w:r>
    </w:p>
    <w:p w14:paraId="449A022C" w14:textId="155E4144" w:rsidR="00195E60" w:rsidRPr="00195E60" w:rsidRDefault="00195E60" w:rsidP="00195E60">
      <w:pPr>
        <w:numPr>
          <w:ilvl w:val="0"/>
          <w:numId w:val="6"/>
        </w:numPr>
      </w:pPr>
      <w:r w:rsidRPr="00195E60">
        <w:t>Diversidad, inclusión y equidad.</w:t>
      </w:r>
      <w:r w:rsidRPr="00195E60">
        <w:br/>
      </w:r>
      <w:r w:rsidRPr="00195E60">
        <w:rPr>
          <w:b/>
          <w:bCs/>
        </w:rPr>
        <w:t>Fuentes:</w:t>
      </w:r>
      <w:r w:rsidRPr="00195E60">
        <w:t xml:space="preserve"> Barrios (2006);</w:t>
      </w:r>
      <w:r w:rsidR="00D95A3A">
        <w:t xml:space="preserve"> Nossar (2014)</w:t>
      </w:r>
      <w:r w:rsidRPr="00195E60">
        <w:t>; Solana (2024).</w:t>
      </w:r>
    </w:p>
    <w:p w14:paraId="63522288" w14:textId="432C992D" w:rsidR="00195E60" w:rsidRPr="00195E60" w:rsidRDefault="00195E60" w:rsidP="00195E60"/>
    <w:p w14:paraId="61039F5C" w14:textId="3FED910E" w:rsidR="00195E60" w:rsidRPr="00195E60" w:rsidRDefault="00195E60" w:rsidP="00195E60">
      <w:pPr>
        <w:rPr>
          <w:b/>
          <w:bCs/>
        </w:rPr>
      </w:pPr>
      <w:r w:rsidRPr="00195E60">
        <w:rPr>
          <w:b/>
          <w:bCs/>
        </w:rPr>
        <w:t>Rúbrica de evaluación de la presentación oral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59"/>
        <w:gridCol w:w="1354"/>
        <w:gridCol w:w="1510"/>
        <w:gridCol w:w="1395"/>
        <w:gridCol w:w="1702"/>
      </w:tblGrid>
      <w:tr w:rsidR="00195E60" w:rsidRPr="00195E60" w14:paraId="3610ED24" w14:textId="77777777" w:rsidTr="00DF1604">
        <w:trPr>
          <w:tblHeader/>
          <w:tblCellSpacing w:w="15" w:type="dxa"/>
        </w:trPr>
        <w:tc>
          <w:tcPr>
            <w:tcW w:w="1373" w:type="dxa"/>
            <w:vAlign w:val="center"/>
            <w:hideMark/>
          </w:tcPr>
          <w:p w14:paraId="63057219" w14:textId="77777777" w:rsidR="00195E60" w:rsidRPr="00195E60" w:rsidRDefault="00195E60" w:rsidP="00195E60">
            <w:pPr>
              <w:rPr>
                <w:b/>
                <w:bCs/>
              </w:rPr>
            </w:pPr>
            <w:r w:rsidRPr="00195E60">
              <w:rPr>
                <w:b/>
                <w:bCs/>
              </w:rPr>
              <w:t>Criterio</w:t>
            </w:r>
          </w:p>
        </w:tc>
        <w:tc>
          <w:tcPr>
            <w:tcW w:w="1429" w:type="dxa"/>
            <w:vAlign w:val="center"/>
            <w:hideMark/>
          </w:tcPr>
          <w:p w14:paraId="62F71594" w14:textId="77777777" w:rsidR="00195E60" w:rsidRPr="00195E60" w:rsidRDefault="00195E60" w:rsidP="00195E60">
            <w:pPr>
              <w:rPr>
                <w:b/>
                <w:bCs/>
              </w:rPr>
            </w:pPr>
            <w:r w:rsidRPr="00195E60">
              <w:rPr>
                <w:b/>
                <w:bCs/>
              </w:rPr>
              <w:t>Excelente (≥87.5%)</w:t>
            </w:r>
          </w:p>
        </w:tc>
        <w:tc>
          <w:tcPr>
            <w:tcW w:w="1324" w:type="dxa"/>
            <w:vAlign w:val="center"/>
            <w:hideMark/>
          </w:tcPr>
          <w:p w14:paraId="3C03A934" w14:textId="77777777" w:rsidR="00195E60" w:rsidRPr="00195E60" w:rsidRDefault="00195E60" w:rsidP="00195E60">
            <w:pPr>
              <w:rPr>
                <w:b/>
                <w:bCs/>
              </w:rPr>
            </w:pPr>
            <w:r w:rsidRPr="00195E60">
              <w:rPr>
                <w:b/>
                <w:bCs/>
              </w:rPr>
              <w:t>Muy bueno (75–87.4%)</w:t>
            </w:r>
          </w:p>
        </w:tc>
        <w:tc>
          <w:tcPr>
            <w:tcW w:w="1480" w:type="dxa"/>
            <w:vAlign w:val="center"/>
            <w:hideMark/>
          </w:tcPr>
          <w:p w14:paraId="737F12F1" w14:textId="77777777" w:rsidR="00195E60" w:rsidRPr="00195E60" w:rsidRDefault="00195E60" w:rsidP="00195E60">
            <w:pPr>
              <w:rPr>
                <w:b/>
                <w:bCs/>
              </w:rPr>
            </w:pPr>
            <w:r w:rsidRPr="00195E60">
              <w:rPr>
                <w:b/>
                <w:bCs/>
              </w:rPr>
              <w:t>Bueno (62.5–74.9%)</w:t>
            </w:r>
          </w:p>
        </w:tc>
        <w:tc>
          <w:tcPr>
            <w:tcW w:w="1365" w:type="dxa"/>
            <w:vAlign w:val="center"/>
            <w:hideMark/>
          </w:tcPr>
          <w:p w14:paraId="6D06ACB2" w14:textId="77777777" w:rsidR="00195E60" w:rsidRPr="00195E60" w:rsidRDefault="00195E60" w:rsidP="00195E60">
            <w:pPr>
              <w:rPr>
                <w:b/>
                <w:bCs/>
              </w:rPr>
            </w:pPr>
            <w:r w:rsidRPr="00195E60">
              <w:rPr>
                <w:b/>
                <w:bCs/>
              </w:rPr>
              <w:t>Aceptable (50–62.4%)</w:t>
            </w:r>
          </w:p>
        </w:tc>
        <w:tc>
          <w:tcPr>
            <w:tcW w:w="1657" w:type="dxa"/>
            <w:vAlign w:val="center"/>
            <w:hideMark/>
          </w:tcPr>
          <w:p w14:paraId="341C2053" w14:textId="77777777" w:rsidR="00195E60" w:rsidRPr="00195E60" w:rsidRDefault="00195E60" w:rsidP="00195E60">
            <w:pPr>
              <w:rPr>
                <w:b/>
                <w:bCs/>
              </w:rPr>
            </w:pPr>
            <w:r w:rsidRPr="00195E60">
              <w:rPr>
                <w:b/>
                <w:bCs/>
              </w:rPr>
              <w:t>Insuficiente (&lt;50%)</w:t>
            </w:r>
          </w:p>
        </w:tc>
      </w:tr>
      <w:tr w:rsidR="00195E60" w:rsidRPr="00195E60" w14:paraId="7F1B2002" w14:textId="77777777" w:rsidTr="00DF160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42664184" w14:textId="77777777" w:rsidR="00195E60" w:rsidRPr="00195E60" w:rsidRDefault="00195E60" w:rsidP="00195E60">
            <w:r w:rsidRPr="00195E60">
              <w:rPr>
                <w:b/>
                <w:bCs/>
              </w:rPr>
              <w:t>1. Comprensión del tema</w:t>
            </w:r>
          </w:p>
        </w:tc>
        <w:tc>
          <w:tcPr>
            <w:tcW w:w="1429" w:type="dxa"/>
            <w:vAlign w:val="center"/>
            <w:hideMark/>
          </w:tcPr>
          <w:p w14:paraId="67EC2AB6" w14:textId="77777777" w:rsidR="00195E60" w:rsidRPr="00195E60" w:rsidRDefault="00195E60" w:rsidP="00195E60">
            <w:r w:rsidRPr="00195E60">
              <w:t>Muestra dominio profundo del tema y de la bibliografía; explica con claridad los conceptos.</w:t>
            </w:r>
          </w:p>
        </w:tc>
        <w:tc>
          <w:tcPr>
            <w:tcW w:w="1324" w:type="dxa"/>
            <w:vAlign w:val="center"/>
            <w:hideMark/>
          </w:tcPr>
          <w:p w14:paraId="6A2F6613" w14:textId="77777777" w:rsidR="00195E60" w:rsidRPr="00195E60" w:rsidRDefault="00195E60" w:rsidP="00195E60">
            <w:r w:rsidRPr="00195E60">
              <w:t>Demuestra buena comprensión, aunque con alguna omisión menor.</w:t>
            </w:r>
          </w:p>
        </w:tc>
        <w:tc>
          <w:tcPr>
            <w:tcW w:w="1480" w:type="dxa"/>
            <w:vAlign w:val="center"/>
            <w:hideMark/>
          </w:tcPr>
          <w:p w14:paraId="376BDE90" w14:textId="77777777" w:rsidR="00195E60" w:rsidRPr="00195E60" w:rsidRDefault="00195E60" w:rsidP="00195E60">
            <w:r w:rsidRPr="00195E60">
              <w:t>Explica los conceptos principales con cierta superficialidad.</w:t>
            </w:r>
          </w:p>
        </w:tc>
        <w:tc>
          <w:tcPr>
            <w:tcW w:w="1365" w:type="dxa"/>
            <w:vAlign w:val="center"/>
            <w:hideMark/>
          </w:tcPr>
          <w:p w14:paraId="40461739" w14:textId="77777777" w:rsidR="00195E60" w:rsidRPr="00195E60" w:rsidRDefault="00195E60" w:rsidP="00195E60">
            <w:r w:rsidRPr="00195E60">
              <w:t>Presenta ideas generales sin desarrollo ni precisión conceptual.</w:t>
            </w:r>
          </w:p>
        </w:tc>
        <w:tc>
          <w:tcPr>
            <w:tcW w:w="1657" w:type="dxa"/>
            <w:vAlign w:val="center"/>
            <w:hideMark/>
          </w:tcPr>
          <w:p w14:paraId="5BF5C889" w14:textId="77777777" w:rsidR="00195E60" w:rsidRPr="00195E60" w:rsidRDefault="00195E60" w:rsidP="00195E60">
            <w:r w:rsidRPr="00195E60">
              <w:t>Evidencia desconocimiento o confusión del tema.</w:t>
            </w:r>
          </w:p>
        </w:tc>
      </w:tr>
      <w:tr w:rsidR="00195E60" w:rsidRPr="00195E60" w14:paraId="5CD4561E" w14:textId="77777777" w:rsidTr="00DF160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4EA7F0AD" w14:textId="77777777" w:rsidR="00195E60" w:rsidRPr="00195E60" w:rsidRDefault="00195E60" w:rsidP="00195E60">
            <w:r w:rsidRPr="00195E60">
              <w:rPr>
                <w:b/>
                <w:bCs/>
              </w:rPr>
              <w:t>2. Integración teórico-práctica</w:t>
            </w:r>
          </w:p>
        </w:tc>
        <w:tc>
          <w:tcPr>
            <w:tcW w:w="1429" w:type="dxa"/>
            <w:vAlign w:val="center"/>
            <w:hideMark/>
          </w:tcPr>
          <w:p w14:paraId="1BC8F1BE" w14:textId="77777777" w:rsidR="00195E60" w:rsidRPr="00195E60" w:rsidRDefault="00195E60" w:rsidP="00195E60">
            <w:r w:rsidRPr="00195E60">
              <w:t>Articula bibliografía, contexto histórico y ejemplos actuales con reflexión personal.</w:t>
            </w:r>
          </w:p>
        </w:tc>
        <w:tc>
          <w:tcPr>
            <w:tcW w:w="1324" w:type="dxa"/>
            <w:vAlign w:val="center"/>
            <w:hideMark/>
          </w:tcPr>
          <w:p w14:paraId="06EED826" w14:textId="77777777" w:rsidR="00195E60" w:rsidRPr="00195E60" w:rsidRDefault="00195E60" w:rsidP="00195E60">
            <w:r w:rsidRPr="00195E60">
              <w:t>Integra teoría y práctica de forma adecuada.</w:t>
            </w:r>
          </w:p>
        </w:tc>
        <w:tc>
          <w:tcPr>
            <w:tcW w:w="1480" w:type="dxa"/>
            <w:vAlign w:val="center"/>
            <w:hideMark/>
          </w:tcPr>
          <w:p w14:paraId="13E6E048" w14:textId="77777777" w:rsidR="00195E60" w:rsidRPr="00195E60" w:rsidRDefault="00195E60" w:rsidP="00195E60">
            <w:r w:rsidRPr="00195E60">
              <w:t>Relaciona los textos pero sin análisis propio.</w:t>
            </w:r>
          </w:p>
        </w:tc>
        <w:tc>
          <w:tcPr>
            <w:tcW w:w="1365" w:type="dxa"/>
            <w:vAlign w:val="center"/>
            <w:hideMark/>
          </w:tcPr>
          <w:p w14:paraId="1B36DFA8" w14:textId="77777777" w:rsidR="00195E60" w:rsidRPr="00195E60" w:rsidRDefault="00195E60" w:rsidP="00195E60">
            <w:r w:rsidRPr="00195E60">
              <w:t>Cita sin relacionar; exposición descriptiva.</w:t>
            </w:r>
          </w:p>
        </w:tc>
        <w:tc>
          <w:tcPr>
            <w:tcW w:w="1657" w:type="dxa"/>
            <w:vAlign w:val="center"/>
            <w:hideMark/>
          </w:tcPr>
          <w:p w14:paraId="232EFE09" w14:textId="77777777" w:rsidR="00195E60" w:rsidRPr="00195E60" w:rsidRDefault="00195E60" w:rsidP="00195E60">
            <w:r w:rsidRPr="00195E60">
              <w:t>No vincula teoría ni ejemplos.</w:t>
            </w:r>
          </w:p>
        </w:tc>
      </w:tr>
      <w:tr w:rsidR="00195E60" w:rsidRPr="00195E60" w14:paraId="25254D9E" w14:textId="77777777" w:rsidTr="00DF160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8F8953D" w14:textId="77777777" w:rsidR="00195E60" w:rsidRPr="00195E60" w:rsidRDefault="00195E60" w:rsidP="00195E60">
            <w:r w:rsidRPr="00195E60">
              <w:rPr>
                <w:b/>
                <w:bCs/>
              </w:rPr>
              <w:t>3. Originalidad y autoría</w:t>
            </w:r>
          </w:p>
        </w:tc>
        <w:tc>
          <w:tcPr>
            <w:tcW w:w="1429" w:type="dxa"/>
            <w:vAlign w:val="center"/>
            <w:hideMark/>
          </w:tcPr>
          <w:p w14:paraId="538224EB" w14:textId="77777777" w:rsidR="00195E60" w:rsidRPr="00195E60" w:rsidRDefault="00195E60" w:rsidP="00195E60">
            <w:r w:rsidRPr="00195E60">
              <w:t xml:space="preserve">Propone una mirada propia, creativa y </w:t>
            </w:r>
            <w:r w:rsidRPr="00195E60">
              <w:lastRenderedPageBreak/>
              <w:t>argumentada.</w:t>
            </w:r>
          </w:p>
        </w:tc>
        <w:tc>
          <w:tcPr>
            <w:tcW w:w="1324" w:type="dxa"/>
            <w:vAlign w:val="center"/>
            <w:hideMark/>
          </w:tcPr>
          <w:p w14:paraId="42CF2A75" w14:textId="77777777" w:rsidR="00195E60" w:rsidRPr="00195E60" w:rsidRDefault="00195E60" w:rsidP="00195E60">
            <w:r w:rsidRPr="00195E60">
              <w:lastRenderedPageBreak/>
              <w:t xml:space="preserve">Aporta reflexión personal aunque con </w:t>
            </w:r>
            <w:r w:rsidRPr="00195E60">
              <w:lastRenderedPageBreak/>
              <w:t>escaso desarrollo.</w:t>
            </w:r>
          </w:p>
        </w:tc>
        <w:tc>
          <w:tcPr>
            <w:tcW w:w="1480" w:type="dxa"/>
            <w:vAlign w:val="center"/>
            <w:hideMark/>
          </w:tcPr>
          <w:p w14:paraId="209C913D" w14:textId="77777777" w:rsidR="00195E60" w:rsidRPr="00195E60" w:rsidRDefault="00195E60" w:rsidP="00195E60">
            <w:r w:rsidRPr="00195E60">
              <w:lastRenderedPageBreak/>
              <w:t>Trabajo correcto pero reproductivo.</w:t>
            </w:r>
          </w:p>
        </w:tc>
        <w:tc>
          <w:tcPr>
            <w:tcW w:w="1365" w:type="dxa"/>
            <w:vAlign w:val="center"/>
            <w:hideMark/>
          </w:tcPr>
          <w:p w14:paraId="317C969F" w14:textId="77777777" w:rsidR="00195E60" w:rsidRPr="00195E60" w:rsidRDefault="00195E60" w:rsidP="00195E60">
            <w:r w:rsidRPr="00195E60">
              <w:t>Escasa reflexión personal.</w:t>
            </w:r>
          </w:p>
        </w:tc>
        <w:tc>
          <w:tcPr>
            <w:tcW w:w="1657" w:type="dxa"/>
            <w:vAlign w:val="center"/>
            <w:hideMark/>
          </w:tcPr>
          <w:p w14:paraId="13AB13DA" w14:textId="77777777" w:rsidR="00195E60" w:rsidRPr="00195E60" w:rsidRDefault="00195E60" w:rsidP="00195E60">
            <w:r w:rsidRPr="00195E60">
              <w:t>Reproduce ideas sin elaboración.</w:t>
            </w:r>
          </w:p>
        </w:tc>
      </w:tr>
      <w:tr w:rsidR="00195E60" w:rsidRPr="00195E60" w14:paraId="5CFC925D" w14:textId="77777777" w:rsidTr="00DF160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31F5B73" w14:textId="77777777" w:rsidR="00195E60" w:rsidRPr="00195E60" w:rsidRDefault="00195E60" w:rsidP="00195E60">
            <w:r w:rsidRPr="00195E60">
              <w:rPr>
                <w:b/>
                <w:bCs/>
              </w:rPr>
              <w:t>4. Comunicación oral y soporte visual</w:t>
            </w:r>
          </w:p>
        </w:tc>
        <w:tc>
          <w:tcPr>
            <w:tcW w:w="1429" w:type="dxa"/>
            <w:vAlign w:val="center"/>
            <w:hideMark/>
          </w:tcPr>
          <w:p w14:paraId="05041556" w14:textId="77777777" w:rsidR="00195E60" w:rsidRPr="00195E60" w:rsidRDefault="00195E60" w:rsidP="00195E60">
            <w:r w:rsidRPr="00195E60">
              <w:t>Exposición fluida, segura y clara; uso pertinente de recursos visuales.</w:t>
            </w:r>
          </w:p>
        </w:tc>
        <w:tc>
          <w:tcPr>
            <w:tcW w:w="1324" w:type="dxa"/>
            <w:vAlign w:val="center"/>
            <w:hideMark/>
          </w:tcPr>
          <w:p w14:paraId="08B32D75" w14:textId="77777777" w:rsidR="00195E60" w:rsidRPr="00195E60" w:rsidRDefault="00195E60" w:rsidP="00195E60">
            <w:r w:rsidRPr="00195E60">
              <w:t>Buena presentación, con leves problemas de organización o tiempo.</w:t>
            </w:r>
          </w:p>
        </w:tc>
        <w:tc>
          <w:tcPr>
            <w:tcW w:w="1480" w:type="dxa"/>
            <w:vAlign w:val="center"/>
            <w:hideMark/>
          </w:tcPr>
          <w:p w14:paraId="5CE3913B" w14:textId="77777777" w:rsidR="00195E60" w:rsidRPr="00195E60" w:rsidRDefault="00195E60" w:rsidP="00195E60">
            <w:r w:rsidRPr="00195E60">
              <w:t>Claridad irregular; recursos básicos.</w:t>
            </w:r>
          </w:p>
        </w:tc>
        <w:tc>
          <w:tcPr>
            <w:tcW w:w="1365" w:type="dxa"/>
            <w:vAlign w:val="center"/>
            <w:hideMark/>
          </w:tcPr>
          <w:p w14:paraId="21477953" w14:textId="77777777" w:rsidR="00195E60" w:rsidRPr="00195E60" w:rsidRDefault="00195E60" w:rsidP="00195E60">
            <w:r w:rsidRPr="00195E60">
              <w:t>Dificultades notorias de comunicación o lectura excesiva.</w:t>
            </w:r>
          </w:p>
        </w:tc>
        <w:tc>
          <w:tcPr>
            <w:tcW w:w="1657" w:type="dxa"/>
            <w:vAlign w:val="center"/>
            <w:hideMark/>
          </w:tcPr>
          <w:p w14:paraId="4E06266A" w14:textId="77777777" w:rsidR="00195E60" w:rsidRPr="00195E60" w:rsidRDefault="00195E60" w:rsidP="00195E60">
            <w:r w:rsidRPr="00195E60">
              <w:t>No logra comunicar con claridad.</w:t>
            </w:r>
          </w:p>
        </w:tc>
      </w:tr>
      <w:tr w:rsidR="00195E60" w:rsidRPr="00195E60" w14:paraId="3666447B" w14:textId="77777777" w:rsidTr="00DF1604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087DC2A" w14:textId="77777777" w:rsidR="00195E60" w:rsidRPr="00195E60" w:rsidRDefault="00195E60" w:rsidP="00195E60">
            <w:r w:rsidRPr="00195E60">
              <w:rPr>
                <w:b/>
                <w:bCs/>
              </w:rPr>
              <w:t>5. Escritura académica y referencias (si presenta texto)</w:t>
            </w:r>
          </w:p>
        </w:tc>
        <w:tc>
          <w:tcPr>
            <w:tcW w:w="1429" w:type="dxa"/>
            <w:vAlign w:val="center"/>
            <w:hideMark/>
          </w:tcPr>
          <w:p w14:paraId="5716240D" w14:textId="77777777" w:rsidR="00195E60" w:rsidRPr="00195E60" w:rsidRDefault="00195E60" w:rsidP="00195E60">
            <w:r w:rsidRPr="00195E60">
              <w:t>Redacción clara y coherente; uso correcto de citas y normas APA.</w:t>
            </w:r>
          </w:p>
        </w:tc>
        <w:tc>
          <w:tcPr>
            <w:tcW w:w="1324" w:type="dxa"/>
            <w:vAlign w:val="center"/>
            <w:hideMark/>
          </w:tcPr>
          <w:p w14:paraId="0771FD0A" w14:textId="77777777" w:rsidR="00195E60" w:rsidRPr="00195E60" w:rsidRDefault="00195E60" w:rsidP="00195E60">
            <w:r w:rsidRPr="00195E60">
              <w:t>Presenta mínimos errores formales.</w:t>
            </w:r>
          </w:p>
        </w:tc>
        <w:tc>
          <w:tcPr>
            <w:tcW w:w="1480" w:type="dxa"/>
            <w:vAlign w:val="center"/>
            <w:hideMark/>
          </w:tcPr>
          <w:p w14:paraId="3B0514D7" w14:textId="77777777" w:rsidR="00195E60" w:rsidRPr="00195E60" w:rsidRDefault="00195E60" w:rsidP="00195E60">
            <w:r w:rsidRPr="00195E60">
              <w:t>Algunos problemas de redacción o formato.</w:t>
            </w:r>
          </w:p>
        </w:tc>
        <w:tc>
          <w:tcPr>
            <w:tcW w:w="1365" w:type="dxa"/>
            <w:vAlign w:val="center"/>
            <w:hideMark/>
          </w:tcPr>
          <w:p w14:paraId="4CFD5C63" w14:textId="77777777" w:rsidR="00195E60" w:rsidRPr="00195E60" w:rsidRDefault="00195E60" w:rsidP="00195E60">
            <w:r w:rsidRPr="00195E60">
              <w:t>Deficiente manejo de referencias.</w:t>
            </w:r>
          </w:p>
        </w:tc>
        <w:tc>
          <w:tcPr>
            <w:tcW w:w="1657" w:type="dxa"/>
            <w:vAlign w:val="center"/>
            <w:hideMark/>
          </w:tcPr>
          <w:p w14:paraId="2ECE2B77" w14:textId="77777777" w:rsidR="00195E60" w:rsidRPr="00195E60" w:rsidRDefault="00195E60" w:rsidP="00195E60">
            <w:r w:rsidRPr="00195E60">
              <w:t>Falta de cuidado formal y sin fuentes.</w:t>
            </w:r>
          </w:p>
        </w:tc>
      </w:tr>
    </w:tbl>
    <w:p w14:paraId="0C5DEAC5" w14:textId="77777777" w:rsidR="00195E60" w:rsidRPr="00195E60" w:rsidRDefault="00195E60" w:rsidP="00195E60">
      <w:r w:rsidRPr="00195E60">
        <w:rPr>
          <w:b/>
          <w:bCs/>
        </w:rPr>
        <w:t>Síntesis del desempeño:</w:t>
      </w:r>
      <w:r w:rsidRPr="00195E60">
        <w:t xml:space="preserve"> Excelente / Muy bueno / Bueno / Aceptable / Insuficiente</w:t>
      </w:r>
      <w:r w:rsidRPr="00195E60">
        <w:br/>
      </w:r>
      <w:r w:rsidRPr="00195E60">
        <w:rPr>
          <w:b/>
          <w:bCs/>
        </w:rPr>
        <w:t>Observaciones específicas:</w:t>
      </w:r>
      <w:r w:rsidRPr="00195E60">
        <w:t xml:space="preserve"> espacio para retroalimentación individual.</w:t>
      </w:r>
    </w:p>
    <w:p w14:paraId="62CAA2E6" w14:textId="77777777" w:rsidR="00740B94" w:rsidRDefault="00740B94"/>
    <w:sectPr w:rsidR="00740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4BF4"/>
    <w:multiLevelType w:val="multilevel"/>
    <w:tmpl w:val="0EE8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2246"/>
    <w:multiLevelType w:val="multilevel"/>
    <w:tmpl w:val="1E38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35EB8"/>
    <w:multiLevelType w:val="multilevel"/>
    <w:tmpl w:val="16A2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617ED"/>
    <w:multiLevelType w:val="multilevel"/>
    <w:tmpl w:val="37B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1415A"/>
    <w:multiLevelType w:val="multilevel"/>
    <w:tmpl w:val="987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81668"/>
    <w:multiLevelType w:val="multilevel"/>
    <w:tmpl w:val="8A2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143933">
    <w:abstractNumId w:val="1"/>
  </w:num>
  <w:num w:numId="2" w16cid:durableId="1774788768">
    <w:abstractNumId w:val="3"/>
  </w:num>
  <w:num w:numId="3" w16cid:durableId="106581647">
    <w:abstractNumId w:val="4"/>
  </w:num>
  <w:num w:numId="4" w16cid:durableId="1940750324">
    <w:abstractNumId w:val="2"/>
  </w:num>
  <w:num w:numId="5" w16cid:durableId="429392210">
    <w:abstractNumId w:val="0"/>
  </w:num>
  <w:num w:numId="6" w16cid:durableId="454905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0"/>
    <w:rsid w:val="00195E60"/>
    <w:rsid w:val="001E65F2"/>
    <w:rsid w:val="0052170D"/>
    <w:rsid w:val="00617125"/>
    <w:rsid w:val="00740B94"/>
    <w:rsid w:val="009D1306"/>
    <w:rsid w:val="00A9210C"/>
    <w:rsid w:val="00C91FA2"/>
    <w:rsid w:val="00D95A3A"/>
    <w:rsid w:val="00DF1604"/>
    <w:rsid w:val="00E31B32"/>
    <w:rsid w:val="00E710DC"/>
    <w:rsid w:val="00E900EF"/>
    <w:rsid w:val="00F01062"/>
    <w:rsid w:val="00F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1D7F"/>
  <w15:chartTrackingRefBased/>
  <w15:docId w15:val="{D9E242B6-6A38-EF4C-9694-882167C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5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E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Mariana Porta Galván</cp:lastModifiedBy>
  <cp:revision>5</cp:revision>
  <dcterms:created xsi:type="dcterms:W3CDTF">2025-10-27T20:51:00Z</dcterms:created>
  <dcterms:modified xsi:type="dcterms:W3CDTF">2025-10-27T23:04:00Z</dcterms:modified>
</cp:coreProperties>
</file>