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5.2693176269531" w:right="0" w:firstLine="0"/>
        <w:jc w:val="left"/>
        <w:rPr>
          <w:rFonts w:ascii="Calibri" w:cs="Calibri" w:eastAsia="Calibri" w:hAnsi="Calibri"/>
          <w:b w:val="1"/>
          <w:sz w:val="30.079999923706055"/>
          <w:szCs w:val="30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Práctico 3: Metodología de la Investigación</w:t>
      </w:r>
      <w:r w:rsidDel="00000000" w:rsidR="00000000" w:rsidRPr="00000000">
        <w:rPr>
          <w:rFonts w:ascii="Calibri" w:cs="Calibri" w:eastAsia="Calibri" w:hAnsi="Calibri"/>
          <w:b w:val="1"/>
          <w:sz w:val="32.15999984741211"/>
          <w:szCs w:val="32.159999847412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30.079999923706055"/>
          <w:szCs w:val="30.079999923706055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92578125" w:line="240" w:lineRule="auto"/>
        <w:ind w:left="3955.5812072753906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  <w:sectPr>
          <w:pgSz w:h="16820" w:w="11900" w:orient="portrait"/>
          <w:pgMar w:bottom="4910.400390625" w:top="1396.79931640625" w:left="1360.0016784667969" w:right="1778.39355468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Actividad </w:t>
      </w:r>
      <w:r w:rsidDel="00000000" w:rsidR="00000000" w:rsidRPr="00000000">
        <w:rPr>
          <w:color w:val="c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u w:val="none"/>
          <w:shd w:fill="auto" w:val="clear"/>
          <w:vertAlign w:val="baseline"/>
          <w:rtl w:val="0"/>
        </w:rPr>
        <w:t xml:space="preserve">: Lectura de resúmenes.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u w:val="none"/>
          <w:shd w:fill="auto" w:val="clear"/>
          <w:vertAlign w:val="baseline"/>
          <w:rtl w:val="0"/>
        </w:rPr>
        <w:t xml:space="preserve">Lea los 2 resúmenes de los artículos: cada uno de ellos identifique: tema,  problema, posibles preguntas de investigación, principales conceptos para la construcción del marco teórico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Texto 1: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Batthyány, K. (2010). El cuidado infantil en Uruguay y sus implicancias de género. Análisis a partir del uso del tiempo.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Revista de Ciencias Sociales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(27), 20-32.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267.119140625" w:line="240" w:lineRule="auto"/>
        <w:ind w:left="720" w:hanging="36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</w:rPr>
        <w:drawing>
          <wp:inline distB="114300" distT="114300" distL="114300" distR="114300">
            <wp:extent cx="4319588" cy="409095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9588" cy="4090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Texto 2:</w:t>
      </w:r>
      <w:r w:rsidDel="00000000" w:rsidR="00000000" w:rsidRPr="00000000">
        <w:rPr>
          <w:color w:val="222222"/>
          <w:highlight w:val="white"/>
          <w:rtl w:val="0"/>
        </w:rPr>
        <w:t xml:space="preserve">Filardo, V. (2006). Globalización y turismo: impactos en los territorios.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Pampa: Revista Interuniversitaria de Estudios Territoriales</w:t>
      </w:r>
      <w:r w:rsidDel="00000000" w:rsidR="00000000" w:rsidRPr="00000000">
        <w:rPr>
          <w:color w:val="222222"/>
          <w:highlight w:val="white"/>
          <w:rtl w:val="0"/>
        </w:rPr>
        <w:t xml:space="preserve">, (2), 185-217.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37155151367" w:lineRule="auto"/>
        <w:ind w:left="0" w:right="0" w:firstLine="0"/>
        <w:jc w:val="left"/>
        <w:rPr>
          <w:color w:val="222222"/>
          <w:highlight w:val="white"/>
        </w:rPr>
        <w:sectPr>
          <w:type w:val="continuous"/>
          <w:pgSz w:h="16820" w:w="11900" w:orient="portrait"/>
          <w:pgMar w:bottom="4910.400390625" w:top="1396.79931640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65.335693359375" w:line="491.1822509765625" w:lineRule="auto"/>
        <w:ind w:right="1081.1474609375" w:firstLine="7.51678466796875"/>
        <w:rPr>
          <w:rFonts w:ascii="Calibri" w:cs="Calibri" w:eastAsia="Calibri" w:hAnsi="Calibri"/>
          <w:sz w:val="27.84000015258789"/>
          <w:szCs w:val="27.84000015258789"/>
        </w:rPr>
        <w:sectPr>
          <w:type w:val="continuous"/>
          <w:pgSz w:h="16820" w:w="11900" w:orient="portrait"/>
          <w:pgMar w:bottom="4910.400390625" w:top="1396.79931640625" w:left="1360.0016784667969" w:right="1778.3935546875" w:header="0" w:footer="720"/>
          <w:cols w:equalWidth="0" w:num="1">
            <w:col w:space="0" w:w="8761.604766845703"/>
          </w:cols>
        </w:sectPr>
      </w:pPr>
      <w:r w:rsidDel="00000000" w:rsidR="00000000" w:rsidRPr="00000000">
        <w:rPr>
          <w:rFonts w:ascii="Calibri" w:cs="Calibri" w:eastAsia="Calibri" w:hAnsi="Calibri"/>
          <w:sz w:val="27.84000015258789"/>
          <w:szCs w:val="27.84000015258789"/>
        </w:rPr>
        <w:drawing>
          <wp:inline distB="114300" distT="114300" distL="114300" distR="114300">
            <wp:extent cx="5773739" cy="356062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3739" cy="3560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7.90037155151367" w:lineRule="auto"/>
        <w:rPr>
          <w:rFonts w:ascii="Times New Roman" w:cs="Times New Roman" w:eastAsia="Times New Roman" w:hAnsi="Times New Roman"/>
          <w:b w:val="1"/>
          <w:sz w:val="27.84000015258789"/>
          <w:szCs w:val="27.84000015258789"/>
        </w:rPr>
        <w:sectPr>
          <w:type w:val="continuous"/>
          <w:pgSz w:h="16820" w:w="11900" w:orient="portrait"/>
          <w:pgMar w:bottom="4910.400390625" w:top="1396.79931640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Actividad 2: Lea los posibles temas de investigación social. Plantee 3 preguntas para problematizar cada uno de estos temas. Si fuera a elaborar un marco teórico sobre cualquiera de estos temas, ¿Qué conceptos deberían estar en ese marco teórico?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1.9189453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Consumo problemático de drogas y alcohol por parte de población adulta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Salud y estado físico de niños que viven en la frontera Uruguay-Brasil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de inteligencia artificial por parte de los estudiantes universitarios </w:t>
      </w:r>
    </w:p>
    <w:sectPr>
      <w:type w:val="continuous"/>
      <w:pgSz w:h="16820" w:w="11900" w:orient="portrait"/>
      <w:pgMar w:bottom="4910.400390625" w:top="1396.79931640625" w:left="1360.0016784667969" w:right="1778.3935546875" w:header="0" w:footer="720"/>
      <w:cols w:equalWidth="0" w:num="1">
        <w:col w:space="0" w:w="8761.6047668457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