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right w:color="auto" w:space="0" w:sz="0" w:val="none"/>
        </w:pBdr>
        <w:shd w:fill="ffffff" w:val="clear"/>
        <w:spacing w:after="240" w:lineRule="auto"/>
        <w:rPr>
          <w:b w:val="1"/>
          <w:color w:val="140700"/>
          <w:sz w:val="24"/>
          <w:szCs w:val="24"/>
        </w:rPr>
      </w:pPr>
      <w:r w:rsidDel="00000000" w:rsidR="00000000" w:rsidRPr="00000000">
        <w:rPr>
          <w:b w:val="1"/>
          <w:color w:val="140700"/>
          <w:sz w:val="24"/>
          <w:szCs w:val="24"/>
          <w:rtl w:val="0"/>
        </w:rPr>
        <w:t xml:space="preserve">Práctico Nancy Fraser </w:t>
      </w:r>
    </w:p>
    <w:p w:rsidR="00000000" w:rsidDel="00000000" w:rsidP="00000000" w:rsidRDefault="00000000" w:rsidRPr="00000000" w14:paraId="00000002">
      <w:pPr>
        <w:pageBreakBefore w:val="0"/>
        <w:pBdr>
          <w:right w:color="auto" w:space="0" w:sz="0" w:val="none"/>
        </w:pBdr>
        <w:shd w:fill="ffffff" w:val="clear"/>
        <w:spacing w:after="240" w:lineRule="auto"/>
        <w:rPr>
          <w:color w:val="140700"/>
        </w:rPr>
      </w:pPr>
      <w:r w:rsidDel="00000000" w:rsidR="00000000" w:rsidRPr="00000000">
        <w:rPr>
          <w:color w:val="140700"/>
          <w:rtl w:val="0"/>
        </w:rPr>
        <w:t xml:space="preserve">Considere el siguiente cuadro que representa ideas de Nancy Fraser:</w:t>
      </w:r>
    </w:p>
    <w:p w:rsidR="00000000" w:rsidDel="00000000" w:rsidP="00000000" w:rsidRDefault="00000000" w:rsidRPr="00000000" w14:paraId="00000003">
      <w:pPr>
        <w:pageBreakBefore w:val="0"/>
        <w:pBdr>
          <w:right w:color="auto" w:space="0" w:sz="0" w:val="none"/>
        </w:pBdr>
        <w:shd w:fill="ffffff" w:val="clear"/>
        <w:spacing w:after="240" w:lineRule="auto"/>
        <w:rPr>
          <w:color w:val="140700"/>
        </w:rPr>
      </w:pPr>
      <w:r w:rsidDel="00000000" w:rsidR="00000000" w:rsidRPr="00000000">
        <w:rPr>
          <w:color w:val="140700"/>
          <w:rtl w:val="0"/>
        </w:rPr>
        <w:t xml:space="preserve"> </w:t>
      </w:r>
      <w:r w:rsidDel="00000000" w:rsidR="00000000" w:rsidRPr="00000000">
        <w:rPr>
          <w:color w:val="140700"/>
        </w:rPr>
        <w:drawing>
          <wp:inline distB="114300" distT="114300" distL="114300" distR="114300">
            <wp:extent cx="5731200" cy="378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right w:color="auto" w:space="0" w:sz="0" w:val="none"/>
        </w:pBdr>
        <w:shd w:fill="ffffff" w:val="clear"/>
        <w:spacing w:after="240" w:lineRule="auto"/>
        <w:rPr>
          <w:color w:val="001e0c"/>
        </w:rPr>
      </w:pPr>
      <w:r w:rsidDel="00000000" w:rsidR="00000000" w:rsidRPr="00000000">
        <w:rPr>
          <w:color w:val="140700"/>
          <w:rtl w:val="0"/>
        </w:rPr>
        <w:t xml:space="preserve">Ahora, lea el siguiente artículo: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https://ladiaria.com.uy/articulo/2017/1/que-pasa-con-la-ley-de-cuotas-para-personas-afro/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right w:color="auto" w:space="0" w:sz="0" w:val="none"/>
        </w:pBdr>
        <w:shd w:fill="ffffff" w:val="clear"/>
        <w:spacing w:after="240" w:lineRule="auto"/>
        <w:rPr>
          <w:color w:val="140700"/>
        </w:rPr>
      </w:pPr>
      <w:r w:rsidDel="00000000" w:rsidR="00000000" w:rsidRPr="00000000">
        <w:rPr>
          <w:color w:val="140700"/>
          <w:rtl w:val="0"/>
        </w:rPr>
        <w:t xml:space="preserve">1)¿La política en cuestión intenta reparar una injusticia de reconocimiento o distributiva?</w:t>
      </w:r>
    </w:p>
    <w:p w:rsidR="00000000" w:rsidDel="00000000" w:rsidP="00000000" w:rsidRDefault="00000000" w:rsidRPr="00000000" w14:paraId="00000006">
      <w:pPr>
        <w:pageBreakBefore w:val="0"/>
        <w:pBdr>
          <w:right w:color="auto" w:space="0" w:sz="0" w:val="none"/>
        </w:pBdr>
        <w:shd w:fill="ffffff" w:val="clear"/>
        <w:spacing w:after="240" w:lineRule="auto"/>
        <w:rPr>
          <w:color w:val="140700"/>
        </w:rPr>
      </w:pPr>
      <w:r w:rsidDel="00000000" w:rsidR="00000000" w:rsidRPr="00000000">
        <w:rPr>
          <w:color w:val="140700"/>
          <w:rtl w:val="0"/>
        </w:rPr>
        <w:t xml:space="preserve">2) ¿Resulta ser transformativa o afirmativa? Justifique.  </w:t>
      </w:r>
    </w:p>
    <w:p w:rsidR="00000000" w:rsidDel="00000000" w:rsidP="00000000" w:rsidRDefault="00000000" w:rsidRPr="00000000" w14:paraId="00000007">
      <w:pPr>
        <w:pageBreakBefore w:val="0"/>
        <w:pBdr>
          <w:right w:color="auto" w:space="0" w:sz="0" w:val="none"/>
        </w:pBdr>
        <w:shd w:fill="ffffff" w:val="clear"/>
        <w:spacing w:after="240" w:lineRule="auto"/>
        <w:rPr>
          <w:color w:val="140700"/>
        </w:rPr>
      </w:pPr>
      <w:r w:rsidDel="00000000" w:rsidR="00000000" w:rsidRPr="00000000">
        <w:rPr>
          <w:color w:val="140700"/>
          <w:rtl w:val="0"/>
        </w:rPr>
        <w:t xml:space="preserve">3) ¿Cuáles considera que pueden ser los pro y los contra de estas políticas?</w:t>
      </w:r>
    </w:p>
    <w:p w:rsidR="00000000" w:rsidDel="00000000" w:rsidP="00000000" w:rsidRDefault="00000000" w:rsidRPr="00000000" w14:paraId="00000008">
      <w:pPr>
        <w:pBdr>
          <w:right w:color="auto" w:space="0" w:sz="0" w:val="none"/>
        </w:pBdr>
        <w:shd w:fill="ffffff" w:val="clear"/>
        <w:spacing w:line="276.0005454545455" w:lineRule="auto"/>
        <w:ind w:left="0" w:firstLine="0"/>
        <w:rPr>
          <w:color w:val="140700"/>
          <w:sz w:val="24"/>
          <w:szCs w:val="24"/>
        </w:rPr>
      </w:pPr>
      <w:r w:rsidDel="00000000" w:rsidR="00000000" w:rsidRPr="00000000">
        <w:rPr>
          <w:color w:val="140700"/>
          <w:sz w:val="24"/>
          <w:szCs w:val="24"/>
          <w:rtl w:val="0"/>
        </w:rPr>
        <w:t xml:space="preserve">4) ¿Cómo definiría una comunidad bivalente?</w:t>
      </w:r>
    </w:p>
    <w:p w:rsidR="00000000" w:rsidDel="00000000" w:rsidP="00000000" w:rsidRDefault="00000000" w:rsidRPr="00000000" w14:paraId="00000009">
      <w:pPr>
        <w:pBdr>
          <w:right w:color="auto" w:space="0" w:sz="0" w:val="none"/>
        </w:pBdr>
        <w:shd w:fill="ffffff" w:val="clear"/>
        <w:spacing w:line="276.0005454545455" w:lineRule="auto"/>
        <w:ind w:left="0" w:firstLine="0"/>
        <w:rPr>
          <w:color w:val="1407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right w:color="auto" w:space="0" w:sz="0" w:val="none"/>
        </w:pBdr>
        <w:shd w:fill="ffffff" w:val="clear"/>
        <w:spacing w:line="276.0005454545455" w:lineRule="auto"/>
        <w:ind w:left="0" w:firstLine="0"/>
        <w:rPr>
          <w:color w:val="140700"/>
          <w:sz w:val="24"/>
          <w:szCs w:val="24"/>
        </w:rPr>
      </w:pPr>
      <w:r w:rsidDel="00000000" w:rsidR="00000000" w:rsidRPr="00000000">
        <w:rPr>
          <w:color w:val="140700"/>
          <w:sz w:val="24"/>
          <w:szCs w:val="24"/>
          <w:rtl w:val="0"/>
        </w:rPr>
        <w:t xml:space="preserve">5) ¿Cómo se relacionan las injusticias económicas con las injusticias culturales?</w:t>
      </w:r>
    </w:p>
    <w:p w:rsidR="00000000" w:rsidDel="00000000" w:rsidP="00000000" w:rsidRDefault="00000000" w:rsidRPr="00000000" w14:paraId="0000000B">
      <w:pPr>
        <w:pBdr>
          <w:right w:color="auto" w:space="0" w:sz="0" w:val="none"/>
        </w:pBdr>
        <w:shd w:fill="ffffff" w:val="clear"/>
        <w:spacing w:line="276.0005454545455" w:lineRule="auto"/>
        <w:ind w:left="0" w:firstLine="0"/>
        <w:rPr>
          <w:color w:val="1407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right w:color="auto" w:space="0" w:sz="0" w:val="none"/>
        </w:pBdr>
        <w:shd w:fill="ffffff" w:val="clear"/>
        <w:spacing w:line="276.0005454545455" w:lineRule="auto"/>
        <w:ind w:left="0" w:firstLine="0"/>
        <w:rPr>
          <w:color w:val="140700"/>
          <w:sz w:val="24"/>
          <w:szCs w:val="24"/>
        </w:rPr>
      </w:pPr>
      <w:r w:rsidDel="00000000" w:rsidR="00000000" w:rsidRPr="00000000">
        <w:rPr>
          <w:color w:val="140700"/>
          <w:sz w:val="24"/>
          <w:szCs w:val="24"/>
          <w:rtl w:val="0"/>
        </w:rPr>
        <w:t xml:space="preserve">6) ¿Por qué es necesario articular el campo de la redistribución con el de reconocimiento en el abordaje de las desigualdades sociales?</w:t>
      </w:r>
    </w:p>
    <w:p w:rsidR="00000000" w:rsidDel="00000000" w:rsidP="00000000" w:rsidRDefault="00000000" w:rsidRPr="00000000" w14:paraId="0000000D">
      <w:pPr>
        <w:pageBreakBefore w:val="0"/>
        <w:pBdr>
          <w:right w:color="auto" w:space="0" w:sz="0" w:val="none"/>
        </w:pBdr>
        <w:shd w:fill="ffffff" w:val="clear"/>
        <w:spacing w:after="240" w:lineRule="auto"/>
        <w:rPr>
          <w:color w:val="1407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before="80" w:line="342.85714285714283" w:lineRule="auto"/>
        <w:ind w:right="80"/>
        <w:jc w:val="center"/>
        <w:rPr>
          <w:color w:val="1407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ladiaria.com.uy/articulo/2017/1/que-pasa-con-la-ley-de-cuotas-para-personas-af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