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454" w:rsidRDefault="00886454" w:rsidP="00886454">
      <w:pPr>
        <w:spacing w:line="276" w:lineRule="auto"/>
        <w:jc w:val="right"/>
        <w:rPr>
          <w:rFonts w:cstheme="minorHAnsi"/>
          <w:color w:val="121212"/>
          <w:sz w:val="24"/>
          <w:szCs w:val="24"/>
          <w:shd w:val="clear" w:color="auto" w:fill="FFFFFF"/>
        </w:rPr>
      </w:pPr>
      <w:bookmarkStart w:id="0" w:name="_GoBack"/>
      <w:bookmarkEnd w:id="0"/>
    </w:p>
    <w:p w:rsidR="00400C4C" w:rsidRPr="00886454" w:rsidRDefault="00886454" w:rsidP="00886454">
      <w:pPr>
        <w:spacing w:line="240" w:lineRule="auto"/>
        <w:jc w:val="right"/>
        <w:rPr>
          <w:rFonts w:cstheme="minorHAnsi"/>
          <w:color w:val="121212"/>
          <w:sz w:val="24"/>
          <w:szCs w:val="24"/>
          <w:shd w:val="clear" w:color="auto" w:fill="FFFFFF"/>
        </w:rPr>
      </w:pPr>
      <w:r w:rsidRPr="00886454">
        <w:rPr>
          <w:rFonts w:cstheme="minorHAnsi"/>
          <w:color w:val="121212"/>
          <w:sz w:val="24"/>
          <w:szCs w:val="24"/>
          <w:shd w:val="clear" w:color="auto" w:fill="FFFFFF"/>
        </w:rPr>
        <w:t>14 de marzo 2024 - 09:31</w:t>
      </w:r>
    </w:p>
    <w:p w:rsidR="00886454" w:rsidRPr="00886454" w:rsidRDefault="00886454" w:rsidP="00886454">
      <w:pPr>
        <w:spacing w:line="240" w:lineRule="auto"/>
        <w:jc w:val="right"/>
        <w:rPr>
          <w:rFonts w:cstheme="minorHAnsi"/>
          <w:sz w:val="24"/>
          <w:szCs w:val="24"/>
        </w:rPr>
      </w:pPr>
      <w:r w:rsidRPr="00886454">
        <w:rPr>
          <w:rFonts w:cstheme="minorHAnsi"/>
          <w:sz w:val="24"/>
          <w:szCs w:val="24"/>
        </w:rPr>
        <w:t>Medio de prensa: Ámbito (Uruguay)</w:t>
      </w:r>
    </w:p>
    <w:p w:rsidR="00886454" w:rsidRPr="00886454" w:rsidRDefault="00886454" w:rsidP="00886454">
      <w:pPr>
        <w:tabs>
          <w:tab w:val="left" w:pos="1360"/>
        </w:tabs>
        <w:spacing w:line="276" w:lineRule="auto"/>
        <w:rPr>
          <w:rFonts w:cstheme="minorHAnsi"/>
          <w:b/>
          <w:sz w:val="24"/>
          <w:szCs w:val="24"/>
        </w:rPr>
      </w:pPr>
      <w:r w:rsidRPr="00886454">
        <w:rPr>
          <w:rFonts w:cstheme="minorHAnsi"/>
          <w:b/>
          <w:sz w:val="24"/>
          <w:szCs w:val="24"/>
        </w:rPr>
        <w:tab/>
        <w:t>Uruguay es el país con menor desigualdad en América Latina</w:t>
      </w:r>
    </w:p>
    <w:p w:rsidR="00886454" w:rsidRPr="00886454" w:rsidRDefault="00886454" w:rsidP="00886454">
      <w:pPr>
        <w:tabs>
          <w:tab w:val="left" w:pos="1560"/>
        </w:tabs>
        <w:spacing w:line="276" w:lineRule="auto"/>
        <w:jc w:val="both"/>
        <w:rPr>
          <w:rFonts w:cstheme="minorHAnsi"/>
          <w:bCs/>
          <w:sz w:val="24"/>
          <w:szCs w:val="24"/>
        </w:rPr>
      </w:pPr>
      <w:r w:rsidRPr="00886454">
        <w:rPr>
          <w:rFonts w:cstheme="minorHAnsi"/>
          <w:sz w:val="24"/>
          <w:szCs w:val="24"/>
        </w:rPr>
        <w:tab/>
      </w:r>
      <w:r w:rsidRPr="00886454">
        <w:rPr>
          <w:rFonts w:cstheme="minorHAnsi"/>
          <w:bCs/>
          <w:sz w:val="24"/>
          <w:szCs w:val="24"/>
        </w:rPr>
        <w:t>El país quedó último en la medición que contempla la distribución del ingreso antes y después de impuestos, con un 46,2% del ingreso disponible en manos del 10% más rico de la población.</w:t>
      </w:r>
    </w:p>
    <w:p w:rsidR="00886454" w:rsidRPr="00886454" w:rsidRDefault="00886454" w:rsidP="00886454">
      <w:pPr>
        <w:tabs>
          <w:tab w:val="left" w:pos="1560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886454">
        <w:rPr>
          <w:rFonts w:cstheme="minorHAnsi"/>
          <w:b/>
          <w:bCs/>
          <w:sz w:val="24"/>
          <w:szCs w:val="24"/>
        </w:rPr>
        <w:t>Uruguay</w:t>
      </w:r>
      <w:r w:rsidRPr="00886454">
        <w:rPr>
          <w:rFonts w:cstheme="minorHAnsi"/>
          <w:sz w:val="24"/>
          <w:szCs w:val="24"/>
        </w:rPr>
        <w:t> tiene la menor </w:t>
      </w:r>
      <w:r w:rsidRPr="00886454">
        <w:rPr>
          <w:rFonts w:cstheme="minorHAnsi"/>
          <w:b/>
          <w:bCs/>
          <w:sz w:val="24"/>
          <w:szCs w:val="24"/>
        </w:rPr>
        <w:t>desigualdad</w:t>
      </w:r>
      <w:r w:rsidRPr="00886454">
        <w:rPr>
          <w:rFonts w:cstheme="minorHAnsi"/>
          <w:sz w:val="24"/>
          <w:szCs w:val="24"/>
        </w:rPr>
        <w:t> de </w:t>
      </w:r>
      <w:r w:rsidRPr="00886454">
        <w:rPr>
          <w:rFonts w:cstheme="minorHAnsi"/>
          <w:b/>
          <w:bCs/>
          <w:sz w:val="24"/>
          <w:szCs w:val="24"/>
        </w:rPr>
        <w:t>América Latina</w:t>
      </w:r>
      <w:r w:rsidRPr="00886454">
        <w:rPr>
          <w:rFonts w:cstheme="minorHAnsi"/>
          <w:sz w:val="24"/>
          <w:szCs w:val="24"/>
        </w:rPr>
        <w:t> en la comparación del </w:t>
      </w:r>
      <w:r w:rsidRPr="00886454">
        <w:rPr>
          <w:rFonts w:cstheme="minorHAnsi"/>
          <w:b/>
          <w:bCs/>
          <w:sz w:val="24"/>
          <w:szCs w:val="24"/>
        </w:rPr>
        <w:t>ingreso per cápita del hogar</w:t>
      </w:r>
      <w:r w:rsidRPr="00886454">
        <w:rPr>
          <w:rFonts w:cstheme="minorHAnsi"/>
          <w:sz w:val="24"/>
          <w:szCs w:val="24"/>
        </w:rPr>
        <w:t> antes y después de la </w:t>
      </w:r>
      <w:hyperlink r:id="rId4" w:tgtFrame="_blank" w:history="1">
        <w:r w:rsidRPr="00886454">
          <w:rPr>
            <w:rStyle w:val="Hipervnculo"/>
            <w:rFonts w:cstheme="minorHAnsi"/>
            <w:b/>
            <w:bCs/>
            <w:sz w:val="24"/>
            <w:szCs w:val="24"/>
          </w:rPr>
          <w:t>aplicación de los </w:t>
        </w:r>
      </w:hyperlink>
      <w:hyperlink r:id="rId5" w:tgtFrame="_blank" w:history="1">
        <w:r w:rsidRPr="00886454">
          <w:rPr>
            <w:rStyle w:val="Hipervnculo"/>
            <w:rFonts w:cstheme="minorHAnsi"/>
            <w:b/>
            <w:bCs/>
            <w:sz w:val="24"/>
            <w:szCs w:val="24"/>
          </w:rPr>
          <w:t>impuestos</w:t>
        </w:r>
      </w:hyperlink>
      <w:r w:rsidRPr="00886454">
        <w:rPr>
          <w:rFonts w:cstheme="minorHAnsi"/>
          <w:b/>
          <w:bCs/>
          <w:sz w:val="24"/>
          <w:szCs w:val="24"/>
        </w:rPr>
        <w:t>.</w:t>
      </w:r>
      <w:r w:rsidRPr="00886454">
        <w:rPr>
          <w:rFonts w:cstheme="minorHAnsi"/>
          <w:sz w:val="24"/>
          <w:szCs w:val="24"/>
        </w:rPr>
        <w:t> Sin embargo, la concentración económica sigue siendo alta —aunque también es la más baja en la región—, con un 46,2% de los ingresos en manos del 10% más rico de la población.</w:t>
      </w:r>
    </w:p>
    <w:p w:rsidR="00886454" w:rsidRPr="00886454" w:rsidRDefault="00886454" w:rsidP="00886454">
      <w:pPr>
        <w:tabs>
          <w:tab w:val="left" w:pos="1560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886454">
        <w:rPr>
          <w:rFonts w:cstheme="minorHAnsi"/>
          <w:sz w:val="24"/>
          <w:szCs w:val="24"/>
        </w:rPr>
        <w:t>Un estudio del portal </w:t>
      </w:r>
      <w:r w:rsidRPr="00886454">
        <w:rPr>
          <w:rFonts w:cstheme="minorHAnsi"/>
          <w:b/>
          <w:bCs/>
          <w:sz w:val="24"/>
          <w:szCs w:val="24"/>
        </w:rPr>
        <w:t>distribuciones.info,</w:t>
      </w:r>
      <w:r w:rsidRPr="00886454">
        <w:rPr>
          <w:rFonts w:cstheme="minorHAnsi"/>
          <w:sz w:val="24"/>
          <w:szCs w:val="24"/>
        </w:rPr>
        <w:t> a cargo de los economistas </w:t>
      </w:r>
      <w:r w:rsidRPr="00886454">
        <w:rPr>
          <w:rFonts w:cstheme="minorHAnsi"/>
          <w:b/>
          <w:bCs/>
          <w:sz w:val="24"/>
          <w:szCs w:val="24"/>
        </w:rPr>
        <w:t>Mauricio De Rosa</w:t>
      </w:r>
      <w:r w:rsidRPr="00886454">
        <w:rPr>
          <w:rFonts w:cstheme="minorHAnsi"/>
          <w:sz w:val="24"/>
          <w:szCs w:val="24"/>
        </w:rPr>
        <w:t>, </w:t>
      </w:r>
      <w:r w:rsidRPr="00886454">
        <w:rPr>
          <w:rFonts w:cstheme="minorHAnsi"/>
          <w:b/>
          <w:bCs/>
          <w:sz w:val="24"/>
          <w:szCs w:val="24"/>
        </w:rPr>
        <w:t>Ignacio Flores</w:t>
      </w:r>
      <w:r w:rsidRPr="00886454">
        <w:rPr>
          <w:rFonts w:cstheme="minorHAnsi"/>
          <w:sz w:val="24"/>
          <w:szCs w:val="24"/>
        </w:rPr>
        <w:t> y </w:t>
      </w:r>
      <w:r w:rsidRPr="00886454">
        <w:rPr>
          <w:rFonts w:cstheme="minorHAnsi"/>
          <w:b/>
          <w:bCs/>
          <w:sz w:val="24"/>
          <w:szCs w:val="24"/>
        </w:rPr>
        <w:t>Marc Morgan,</w:t>
      </w:r>
      <w:r w:rsidRPr="00886454">
        <w:rPr>
          <w:rFonts w:cstheme="minorHAnsi"/>
          <w:sz w:val="24"/>
          <w:szCs w:val="24"/>
        </w:rPr>
        <w:t> sobre la </w:t>
      </w:r>
      <w:r w:rsidRPr="00886454">
        <w:rPr>
          <w:rFonts w:cstheme="minorHAnsi"/>
          <w:b/>
          <w:bCs/>
          <w:sz w:val="24"/>
          <w:szCs w:val="24"/>
        </w:rPr>
        <w:t>distribución del crecimiento económico</w:t>
      </w:r>
      <w:r w:rsidRPr="00886454">
        <w:rPr>
          <w:rFonts w:cstheme="minorHAnsi"/>
          <w:sz w:val="24"/>
          <w:szCs w:val="24"/>
        </w:rPr>
        <w:t> en América Latina, registró que </w:t>
      </w:r>
      <w:r w:rsidRPr="00886454">
        <w:rPr>
          <w:rFonts w:cstheme="minorHAnsi"/>
          <w:b/>
          <w:bCs/>
          <w:sz w:val="24"/>
          <w:szCs w:val="24"/>
        </w:rPr>
        <w:t>Uruguay</w:t>
      </w:r>
      <w:r w:rsidRPr="00886454">
        <w:rPr>
          <w:rFonts w:cstheme="minorHAnsi"/>
          <w:sz w:val="24"/>
          <w:szCs w:val="24"/>
        </w:rPr>
        <w:t> es el país de la región que presenta un menor nivel de </w:t>
      </w:r>
      <w:r w:rsidRPr="00886454">
        <w:rPr>
          <w:rFonts w:cstheme="minorHAnsi"/>
          <w:b/>
          <w:bCs/>
          <w:sz w:val="24"/>
          <w:szCs w:val="24"/>
        </w:rPr>
        <w:t>desigualdad.</w:t>
      </w:r>
      <w:r w:rsidRPr="00886454">
        <w:rPr>
          <w:rFonts w:cstheme="minorHAnsi"/>
          <w:sz w:val="24"/>
          <w:szCs w:val="24"/>
        </w:rPr>
        <w:t> En este sentido, si se mide el </w:t>
      </w:r>
      <w:hyperlink r:id="rId6" w:tgtFrame="_blank" w:history="1">
        <w:r w:rsidRPr="00886454">
          <w:rPr>
            <w:rStyle w:val="Hipervnculo"/>
            <w:rFonts w:cstheme="minorHAnsi"/>
            <w:b/>
            <w:bCs/>
            <w:sz w:val="24"/>
            <w:szCs w:val="24"/>
          </w:rPr>
          <w:t>ingreso per cápita</w:t>
        </w:r>
      </w:hyperlink>
      <w:r w:rsidRPr="00886454">
        <w:rPr>
          <w:rFonts w:cstheme="minorHAnsi"/>
          <w:sz w:val="24"/>
          <w:szCs w:val="24"/>
        </w:rPr>
        <w:t> del hogar en el total de la población, el ingreso nacional disponible en manos del 10% más rico es del 46,2%.</w:t>
      </w:r>
    </w:p>
    <w:p w:rsidR="00886454" w:rsidRPr="00886454" w:rsidRDefault="00886454" w:rsidP="00886454">
      <w:pPr>
        <w:tabs>
          <w:tab w:val="left" w:pos="1560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886454">
        <w:rPr>
          <w:rFonts w:cstheme="minorHAnsi"/>
          <w:sz w:val="24"/>
          <w:szCs w:val="24"/>
        </w:rPr>
        <w:t>El informe analiza particularmente el ingreso disponible en los hogares una vez que se restan los impuestos y se suman las </w:t>
      </w:r>
      <w:r w:rsidRPr="00886454">
        <w:rPr>
          <w:rFonts w:cstheme="minorHAnsi"/>
          <w:b/>
          <w:bCs/>
          <w:sz w:val="24"/>
          <w:szCs w:val="24"/>
        </w:rPr>
        <w:t>transferencias sociales</w:t>
      </w:r>
      <w:r w:rsidRPr="00886454">
        <w:rPr>
          <w:rFonts w:cstheme="minorHAnsi"/>
          <w:sz w:val="24"/>
          <w:szCs w:val="24"/>
        </w:rPr>
        <w:t> monetarias como pueden serlo programas de ayuda asistencial a los sectores más pobres de la población. Y la conclusión general es que el impacto de la </w:t>
      </w:r>
      <w:r w:rsidRPr="00886454">
        <w:rPr>
          <w:rFonts w:cstheme="minorHAnsi"/>
          <w:b/>
          <w:bCs/>
          <w:sz w:val="24"/>
          <w:szCs w:val="24"/>
        </w:rPr>
        <w:t>redistribución monetaria</w:t>
      </w:r>
      <w:r w:rsidRPr="00886454">
        <w:rPr>
          <w:rFonts w:cstheme="minorHAnsi"/>
          <w:sz w:val="24"/>
          <w:szCs w:val="24"/>
        </w:rPr>
        <w:t> es marginal en casi todos los países latinoamericanos, algo que se observa por las mínimas variaciones entre el ingreso antes de impuestos y el monetario disponible.</w:t>
      </w:r>
    </w:p>
    <w:p w:rsidR="00886454" w:rsidRDefault="00886454" w:rsidP="00886454">
      <w:pPr>
        <w:tabs>
          <w:tab w:val="left" w:pos="1560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886454">
        <w:rPr>
          <w:rFonts w:cstheme="minorHAnsi"/>
          <w:noProof/>
          <w:sz w:val="24"/>
          <w:szCs w:val="24"/>
        </w:rPr>
        <w:drawing>
          <wp:inline distT="0" distB="0" distL="0" distR="0">
            <wp:extent cx="5400040" cy="3993840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9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454" w:rsidRPr="00886454" w:rsidRDefault="00886454" w:rsidP="00886454">
      <w:pPr>
        <w:tabs>
          <w:tab w:val="left" w:pos="1560"/>
        </w:tabs>
        <w:spacing w:line="276" w:lineRule="auto"/>
        <w:jc w:val="both"/>
        <w:rPr>
          <w:rFonts w:cstheme="minorHAnsi"/>
          <w:sz w:val="24"/>
          <w:szCs w:val="24"/>
        </w:rPr>
      </w:pPr>
    </w:p>
    <w:p w:rsidR="00886454" w:rsidRPr="00886454" w:rsidRDefault="00886454" w:rsidP="00886454">
      <w:pPr>
        <w:tabs>
          <w:tab w:val="left" w:pos="1560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886454">
        <w:rPr>
          <w:rFonts w:cstheme="minorHAnsi"/>
          <w:sz w:val="24"/>
          <w:szCs w:val="24"/>
        </w:rPr>
        <w:lastRenderedPageBreak/>
        <w:t>De todos modos, y a pesar de que la desigualdad sigue siendo alta —considerando que casi la mitad de los ingresos nacionales están concentradas en apenas un 10% de la población—, </w:t>
      </w:r>
      <w:r w:rsidRPr="00886454">
        <w:rPr>
          <w:rFonts w:cstheme="minorHAnsi"/>
          <w:b/>
          <w:bCs/>
          <w:sz w:val="24"/>
          <w:szCs w:val="24"/>
        </w:rPr>
        <w:t>Uruguay</w:t>
      </w:r>
      <w:r w:rsidRPr="00886454">
        <w:rPr>
          <w:rFonts w:cstheme="minorHAnsi"/>
          <w:sz w:val="24"/>
          <w:szCs w:val="24"/>
        </w:rPr>
        <w:t> es el mejor en la medición que contempla también a </w:t>
      </w:r>
      <w:r w:rsidRPr="00886454">
        <w:rPr>
          <w:rFonts w:cstheme="minorHAnsi"/>
          <w:b/>
          <w:bCs/>
          <w:sz w:val="24"/>
          <w:szCs w:val="24"/>
        </w:rPr>
        <w:t>México</w:t>
      </w:r>
      <w:r w:rsidRPr="00886454">
        <w:rPr>
          <w:rFonts w:cstheme="minorHAnsi"/>
          <w:sz w:val="24"/>
          <w:szCs w:val="24"/>
        </w:rPr>
        <w:t> (68,6%), </w:t>
      </w:r>
      <w:r w:rsidRPr="00886454">
        <w:rPr>
          <w:rFonts w:cstheme="minorHAnsi"/>
          <w:b/>
          <w:bCs/>
          <w:sz w:val="24"/>
          <w:szCs w:val="24"/>
        </w:rPr>
        <w:t>Perú</w:t>
      </w:r>
      <w:r w:rsidRPr="00886454">
        <w:rPr>
          <w:rFonts w:cstheme="minorHAnsi"/>
          <w:sz w:val="24"/>
          <w:szCs w:val="24"/>
        </w:rPr>
        <w:t> (63,6%), </w:t>
      </w:r>
      <w:r w:rsidRPr="00886454">
        <w:rPr>
          <w:rFonts w:cstheme="minorHAnsi"/>
          <w:b/>
          <w:bCs/>
          <w:sz w:val="24"/>
          <w:szCs w:val="24"/>
        </w:rPr>
        <w:t>Colombia</w:t>
      </w:r>
      <w:r w:rsidRPr="00886454">
        <w:rPr>
          <w:rFonts w:cstheme="minorHAnsi"/>
          <w:sz w:val="24"/>
          <w:szCs w:val="24"/>
        </w:rPr>
        <w:t> (63,2%), </w:t>
      </w:r>
      <w:r w:rsidRPr="00886454">
        <w:rPr>
          <w:rFonts w:cstheme="minorHAnsi"/>
          <w:b/>
          <w:bCs/>
          <w:sz w:val="24"/>
          <w:szCs w:val="24"/>
        </w:rPr>
        <w:t>Brasil</w:t>
      </w:r>
      <w:r w:rsidRPr="00886454">
        <w:rPr>
          <w:rFonts w:cstheme="minorHAnsi"/>
          <w:sz w:val="24"/>
          <w:szCs w:val="24"/>
        </w:rPr>
        <w:t> (59,6%), </w:t>
      </w:r>
      <w:r w:rsidRPr="00886454">
        <w:rPr>
          <w:rFonts w:cstheme="minorHAnsi"/>
          <w:b/>
          <w:bCs/>
          <w:sz w:val="24"/>
          <w:szCs w:val="24"/>
        </w:rPr>
        <w:t>Costa Rica</w:t>
      </w:r>
      <w:r w:rsidRPr="00886454">
        <w:rPr>
          <w:rFonts w:cstheme="minorHAnsi"/>
          <w:sz w:val="24"/>
          <w:szCs w:val="24"/>
        </w:rPr>
        <w:t> (58,4%), </w:t>
      </w:r>
      <w:r w:rsidRPr="00886454">
        <w:rPr>
          <w:rFonts w:cstheme="minorHAnsi"/>
          <w:b/>
          <w:bCs/>
          <w:sz w:val="24"/>
          <w:szCs w:val="24"/>
        </w:rPr>
        <w:t>Chile</w:t>
      </w:r>
      <w:r w:rsidRPr="00886454">
        <w:rPr>
          <w:rFonts w:cstheme="minorHAnsi"/>
          <w:sz w:val="24"/>
          <w:szCs w:val="24"/>
        </w:rPr>
        <w:t> (51,8%), </w:t>
      </w:r>
      <w:r w:rsidRPr="00886454">
        <w:rPr>
          <w:rFonts w:cstheme="minorHAnsi"/>
          <w:b/>
          <w:bCs/>
          <w:sz w:val="24"/>
          <w:szCs w:val="24"/>
        </w:rPr>
        <w:t>Argentina</w:t>
      </w:r>
      <w:r w:rsidRPr="00886454">
        <w:rPr>
          <w:rFonts w:cstheme="minorHAnsi"/>
          <w:sz w:val="24"/>
          <w:szCs w:val="24"/>
        </w:rPr>
        <w:t> (50,3%) y </w:t>
      </w:r>
      <w:r w:rsidRPr="00886454">
        <w:rPr>
          <w:rFonts w:cstheme="minorHAnsi"/>
          <w:b/>
          <w:bCs/>
          <w:sz w:val="24"/>
          <w:szCs w:val="24"/>
        </w:rPr>
        <w:t>Ecuador</w:t>
      </w:r>
      <w:r w:rsidRPr="00886454">
        <w:rPr>
          <w:rFonts w:cstheme="minorHAnsi"/>
          <w:sz w:val="24"/>
          <w:szCs w:val="24"/>
        </w:rPr>
        <w:t> (50%).</w:t>
      </w:r>
    </w:p>
    <w:p w:rsidR="00886454" w:rsidRPr="00886454" w:rsidRDefault="00886454" w:rsidP="00886454">
      <w:pPr>
        <w:spacing w:line="276" w:lineRule="auto"/>
        <w:rPr>
          <w:rFonts w:cstheme="minorHAnsi"/>
          <w:sz w:val="24"/>
          <w:szCs w:val="24"/>
        </w:rPr>
      </w:pPr>
    </w:p>
    <w:p w:rsidR="00886454" w:rsidRPr="00886454" w:rsidRDefault="00886454" w:rsidP="00886454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886454">
        <w:rPr>
          <w:rFonts w:cstheme="minorHAnsi"/>
          <w:b/>
          <w:bCs/>
          <w:sz w:val="24"/>
          <w:szCs w:val="24"/>
        </w:rPr>
        <w:t>Más distribución, pero más impuestos</w:t>
      </w:r>
    </w:p>
    <w:p w:rsidR="00886454" w:rsidRPr="00886454" w:rsidRDefault="00886454" w:rsidP="00886454">
      <w:pPr>
        <w:spacing w:line="276" w:lineRule="auto"/>
        <w:rPr>
          <w:rFonts w:cstheme="minorHAnsi"/>
          <w:sz w:val="24"/>
          <w:szCs w:val="24"/>
        </w:rPr>
      </w:pPr>
      <w:r w:rsidRPr="00886454">
        <w:rPr>
          <w:rFonts w:cstheme="minorHAnsi"/>
          <w:sz w:val="24"/>
          <w:szCs w:val="24"/>
        </w:rPr>
        <w:t>Según un estudio del </w:t>
      </w:r>
      <w:r w:rsidRPr="00886454">
        <w:rPr>
          <w:rFonts w:cstheme="minorHAnsi"/>
          <w:b/>
          <w:bCs/>
          <w:sz w:val="24"/>
          <w:szCs w:val="24"/>
        </w:rPr>
        <w:t>Banco Interamericano de Desarrollo (BID)</w:t>
      </w:r>
      <w:r w:rsidRPr="00886454">
        <w:rPr>
          <w:rFonts w:cstheme="minorHAnsi"/>
          <w:sz w:val="24"/>
          <w:szCs w:val="24"/>
        </w:rPr>
        <w:t> para establecer la </w:t>
      </w:r>
      <w:r w:rsidRPr="00886454">
        <w:rPr>
          <w:rFonts w:cstheme="minorHAnsi"/>
          <w:b/>
          <w:bCs/>
          <w:sz w:val="24"/>
          <w:szCs w:val="24"/>
        </w:rPr>
        <w:t>Presión fiscal equivalente (PFE)</w:t>
      </w:r>
      <w:r w:rsidRPr="00886454">
        <w:rPr>
          <w:rFonts w:cstheme="minorHAnsi"/>
          <w:sz w:val="24"/>
          <w:szCs w:val="24"/>
        </w:rPr>
        <w:t>, </w:t>
      </w:r>
      <w:r w:rsidRPr="00886454">
        <w:rPr>
          <w:rFonts w:cstheme="minorHAnsi"/>
          <w:b/>
          <w:bCs/>
          <w:sz w:val="24"/>
          <w:szCs w:val="24"/>
        </w:rPr>
        <w:t>Uruguay</w:t>
      </w:r>
      <w:r w:rsidRPr="00886454">
        <w:rPr>
          <w:rFonts w:cstheme="minorHAnsi"/>
          <w:sz w:val="24"/>
          <w:szCs w:val="24"/>
        </w:rPr>
        <w:t> es el tercer país con mayor carga tributaria en América Latina, ubicándose sólo por debajo de </w:t>
      </w:r>
      <w:r w:rsidRPr="00886454">
        <w:rPr>
          <w:rFonts w:cstheme="minorHAnsi"/>
          <w:b/>
          <w:bCs/>
          <w:sz w:val="24"/>
          <w:szCs w:val="24"/>
        </w:rPr>
        <w:t>Argentina</w:t>
      </w:r>
      <w:r w:rsidRPr="00886454">
        <w:rPr>
          <w:rFonts w:cstheme="minorHAnsi"/>
          <w:sz w:val="24"/>
          <w:szCs w:val="24"/>
        </w:rPr>
        <w:t> y </w:t>
      </w:r>
      <w:r w:rsidRPr="00886454">
        <w:rPr>
          <w:rFonts w:cstheme="minorHAnsi"/>
          <w:b/>
          <w:bCs/>
          <w:sz w:val="24"/>
          <w:szCs w:val="24"/>
        </w:rPr>
        <w:t>Brasil</w:t>
      </w:r>
      <w:r w:rsidRPr="00886454">
        <w:rPr>
          <w:rFonts w:cstheme="minorHAnsi"/>
          <w:sz w:val="24"/>
          <w:szCs w:val="24"/>
        </w:rPr>
        <w:t>, países que tienen una importante carga tributaria, que muchos economistas consideran excesiva.</w:t>
      </w:r>
    </w:p>
    <w:p w:rsidR="00886454" w:rsidRPr="00886454" w:rsidRDefault="00886454" w:rsidP="00886454">
      <w:pPr>
        <w:spacing w:line="276" w:lineRule="auto"/>
        <w:rPr>
          <w:rFonts w:cstheme="minorHAnsi"/>
          <w:sz w:val="24"/>
          <w:szCs w:val="24"/>
        </w:rPr>
      </w:pPr>
      <w:r w:rsidRPr="00886454">
        <w:rPr>
          <w:rFonts w:cstheme="minorHAnsi"/>
          <w:sz w:val="24"/>
          <w:szCs w:val="24"/>
        </w:rPr>
        <w:t>En el caso del país, el Estado no cuenta con ingresos adicionales por </w:t>
      </w:r>
      <w:hyperlink r:id="rId8" w:tgtFrame="_blank" w:history="1">
        <w:r w:rsidRPr="00886454">
          <w:rPr>
            <w:rStyle w:val="Hipervnculo"/>
            <w:rFonts w:cstheme="minorHAnsi"/>
            <w:b/>
            <w:bCs/>
            <w:sz w:val="24"/>
            <w:szCs w:val="24"/>
          </w:rPr>
          <w:t>explotación de recursos naturales</w:t>
        </w:r>
      </w:hyperlink>
      <w:r w:rsidRPr="00886454">
        <w:rPr>
          <w:rFonts w:cstheme="minorHAnsi"/>
          <w:sz w:val="24"/>
          <w:szCs w:val="24"/>
        </w:rPr>
        <w:t>, pero sí establece aportes obligatorios a la </w:t>
      </w:r>
      <w:r w:rsidRPr="00886454">
        <w:rPr>
          <w:rFonts w:cstheme="minorHAnsi"/>
          <w:b/>
          <w:bCs/>
          <w:sz w:val="24"/>
          <w:szCs w:val="24"/>
        </w:rPr>
        <w:t>seguridad social </w:t>
      </w:r>
      <w:r w:rsidRPr="00886454">
        <w:rPr>
          <w:rFonts w:cstheme="minorHAnsi"/>
          <w:sz w:val="24"/>
          <w:szCs w:val="24"/>
        </w:rPr>
        <w:t>para el pilar de ahorro individual, que se suman para establecer su propio nivel de PFE.</w:t>
      </w:r>
    </w:p>
    <w:p w:rsidR="00886454" w:rsidRPr="00886454" w:rsidRDefault="00886454" w:rsidP="00886454">
      <w:pPr>
        <w:spacing w:line="276" w:lineRule="auto"/>
        <w:rPr>
          <w:rFonts w:cstheme="minorHAnsi"/>
          <w:sz w:val="24"/>
          <w:szCs w:val="24"/>
        </w:rPr>
      </w:pPr>
      <w:r w:rsidRPr="00886454">
        <w:rPr>
          <w:rFonts w:cstheme="minorHAnsi"/>
          <w:sz w:val="24"/>
          <w:szCs w:val="24"/>
        </w:rPr>
        <w:t xml:space="preserve">De hecho, </w:t>
      </w:r>
      <w:proofErr w:type="spellStart"/>
      <w:r w:rsidRPr="00886454">
        <w:rPr>
          <w:rFonts w:cstheme="minorHAnsi"/>
          <w:sz w:val="24"/>
          <w:szCs w:val="24"/>
        </w:rPr>
        <w:t>aún</w:t>
      </w:r>
      <w:proofErr w:type="spellEnd"/>
      <w:r w:rsidRPr="00886454">
        <w:rPr>
          <w:rFonts w:cstheme="minorHAnsi"/>
          <w:sz w:val="24"/>
          <w:szCs w:val="24"/>
        </w:rPr>
        <w:t xml:space="preserve"> excluyendo los ingresos adicionales, </w:t>
      </w:r>
      <w:r w:rsidRPr="00886454">
        <w:rPr>
          <w:rFonts w:cstheme="minorHAnsi"/>
          <w:b/>
          <w:bCs/>
          <w:sz w:val="24"/>
          <w:szCs w:val="24"/>
        </w:rPr>
        <w:t>Uruguay</w:t>
      </w:r>
      <w:r w:rsidRPr="00886454">
        <w:rPr>
          <w:rFonts w:cstheme="minorHAnsi"/>
          <w:sz w:val="24"/>
          <w:szCs w:val="24"/>
        </w:rPr>
        <w:t> está cerca del podio (disputa el tercer puesto con </w:t>
      </w:r>
      <w:r w:rsidRPr="00886454">
        <w:rPr>
          <w:rFonts w:cstheme="minorHAnsi"/>
          <w:b/>
          <w:bCs/>
          <w:sz w:val="24"/>
          <w:szCs w:val="24"/>
        </w:rPr>
        <w:t>Barbados</w:t>
      </w:r>
      <w:r w:rsidRPr="00886454">
        <w:rPr>
          <w:rFonts w:cstheme="minorHAnsi"/>
          <w:sz w:val="24"/>
          <w:szCs w:val="24"/>
        </w:rPr>
        <w:t>, pequeña nación caribeña). La PFE está casi en 35%. Sin los ingresos adicionales, la presión tributaria de todas maneras supera el 31%.</w:t>
      </w:r>
    </w:p>
    <w:p w:rsidR="00886454" w:rsidRPr="00886454" w:rsidRDefault="00886454" w:rsidP="00886454">
      <w:pPr>
        <w:spacing w:line="276" w:lineRule="auto"/>
        <w:rPr>
          <w:rFonts w:cstheme="minorHAnsi"/>
          <w:sz w:val="24"/>
          <w:szCs w:val="24"/>
        </w:rPr>
      </w:pPr>
      <w:hyperlink r:id="rId9" w:history="1">
        <w:r w:rsidRPr="00886454">
          <w:rPr>
            <w:rStyle w:val="Hipervnculo"/>
            <w:rFonts w:cstheme="minorHAnsi"/>
            <w:sz w:val="24"/>
            <w:szCs w:val="24"/>
          </w:rPr>
          <w:t>https://www.ambito.com/uruguay/es-el-pais-menor-desigualdad-america-latina-n5964982</w:t>
        </w:r>
      </w:hyperlink>
    </w:p>
    <w:p w:rsidR="00886454" w:rsidRPr="00886454" w:rsidRDefault="00886454" w:rsidP="00886454">
      <w:pPr>
        <w:spacing w:line="276" w:lineRule="auto"/>
        <w:rPr>
          <w:rFonts w:cstheme="minorHAnsi"/>
          <w:sz w:val="24"/>
          <w:szCs w:val="24"/>
        </w:rPr>
      </w:pPr>
    </w:p>
    <w:sectPr w:rsidR="00886454" w:rsidRPr="00886454" w:rsidSect="00886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54"/>
    <w:rsid w:val="00400C4C"/>
    <w:rsid w:val="00886454"/>
    <w:rsid w:val="00F6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89DF"/>
  <w15:chartTrackingRefBased/>
  <w15:docId w15:val="{0BEA0CBE-DD98-4E52-A8FC-37367D20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8645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86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bito.com/uruguay/el-ejecutivo-estudia-importar-raciones-una-menor-carga-impositiva-la-sequia-n563112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bito.com/uruguay/subir-o-no-los-impuestos-el-debate-fiscal-cobra-fuerza-la-campana-electoral-n590345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mbito.com/uruguay/posee-una-las-mayores-cargas-tributarias-la-region-n595115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ambito.com/uruguay/posee-una-las-mayores-cargas-tributarias-la-region-n5951155" TargetMode="External"/><Relationship Id="rId9" Type="http://schemas.openxmlformats.org/officeDocument/2006/relationships/hyperlink" Target="https://www.ambito.com/uruguay/es-el-pais-menor-desigualdad-america-latina-n596498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542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2024-03-31T19:07:00Z</dcterms:created>
  <dcterms:modified xsi:type="dcterms:W3CDTF">2024-03-31T22:12:00Z</dcterms:modified>
</cp:coreProperties>
</file>