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99" w:rsidRDefault="00147A99">
      <w:r w:rsidRPr="00147A99">
        <w:rPr>
          <w:highlight w:val="green"/>
        </w:rPr>
        <w:t>MÓDULO 1</w:t>
      </w:r>
    </w:p>
    <w:p w:rsidR="00147A99" w:rsidRDefault="00147A99">
      <w:r>
        <w:t>ART 2</w:t>
      </w:r>
      <w:bookmarkStart w:id="0" w:name="_GoBack"/>
      <w:bookmarkEnd w:id="0"/>
    </w:p>
    <w:p w:rsidR="001D48A3" w:rsidRDefault="006440FC">
      <w:r w:rsidRPr="006440FC">
        <w:t>Sistema de Información de Tendencias Educat</w:t>
      </w:r>
      <w:r>
        <w:t>ivas en América Latina (</w:t>
      </w:r>
      <w:proofErr w:type="spellStart"/>
      <w:r>
        <w:t>siteal</w:t>
      </w:r>
      <w:proofErr w:type="spellEnd"/>
      <w:r>
        <w:t>)</w:t>
      </w:r>
    </w:p>
    <w:p w:rsidR="006440FC" w:rsidRDefault="006440FC" w:rsidP="006440FC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Existen buenas razones tanto en la academia como en las políticas públicas para estar preocupados.</w:t>
      </w:r>
    </w:p>
    <w:p w:rsidR="009D42EA" w:rsidRDefault="009D42EA" w:rsidP="00933D45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6440FC" w:rsidRDefault="006440FC" w:rsidP="00933D45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La tasa de abandono de la educación obligatoria según clase social, género y región geográfica,</w:t>
      </w:r>
      <w:r w:rsidR="00933D4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es un indicador del grado de </w:t>
      </w:r>
      <w:r>
        <w:rPr>
          <w:rFonts w:ascii="Perpetua-Italic" w:hAnsi="Perpetua-Italic" w:cs="Perpetua-Italic"/>
          <w:i/>
          <w:iCs/>
          <w:sz w:val="22"/>
        </w:rPr>
        <w:t xml:space="preserve">segmentación </w:t>
      </w:r>
      <w:r>
        <w:rPr>
          <w:rFonts w:ascii="Perpetua" w:hAnsi="Perpetua" w:cs="Perpetua"/>
          <w:sz w:val="22"/>
        </w:rPr>
        <w:t xml:space="preserve">que devela la </w:t>
      </w:r>
      <w:r>
        <w:rPr>
          <w:rFonts w:ascii="Perpetua-Italic" w:hAnsi="Perpetua-Italic" w:cs="Perpetua-Italic"/>
          <w:i/>
          <w:iCs/>
          <w:sz w:val="22"/>
        </w:rPr>
        <w:t xml:space="preserve">desigualdad </w:t>
      </w:r>
      <w:r>
        <w:rPr>
          <w:rFonts w:ascii="Perpetua" w:hAnsi="Perpetua" w:cs="Perpetua"/>
          <w:sz w:val="22"/>
        </w:rPr>
        <w:t>con que están distribuidas las</w:t>
      </w:r>
      <w:r w:rsidR="00933D4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oportunidades educativas en una sociedad, incluso para un país como Uruguay, que en términos</w:t>
      </w:r>
      <w:r w:rsidR="00933D4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comparativos regionales tiene una desigualdad social reducida (</w:t>
      </w:r>
      <w:proofErr w:type="spellStart"/>
      <w:r>
        <w:rPr>
          <w:rFonts w:ascii="Perpetua" w:hAnsi="Perpetua" w:cs="Perpetua"/>
          <w:sz w:val="22"/>
        </w:rPr>
        <w:t>Boado</w:t>
      </w:r>
      <w:proofErr w:type="spellEnd"/>
      <w:r>
        <w:rPr>
          <w:rFonts w:ascii="Perpetua" w:hAnsi="Perpetua" w:cs="Perpetua"/>
          <w:sz w:val="22"/>
        </w:rPr>
        <w:t>, 2008; Fernández, 2009a;</w:t>
      </w:r>
      <w:r w:rsidR="00933D45">
        <w:rPr>
          <w:rFonts w:ascii="Perpetua" w:hAnsi="Perpetua" w:cs="Perpetua"/>
          <w:sz w:val="22"/>
        </w:rPr>
        <w:t xml:space="preserve"> </w:t>
      </w:r>
      <w:proofErr w:type="spellStart"/>
      <w:r>
        <w:rPr>
          <w:rFonts w:ascii="Perpetua" w:hAnsi="Perpetua" w:cs="Perpetua"/>
          <w:sz w:val="22"/>
        </w:rPr>
        <w:t>Boado</w:t>
      </w:r>
      <w:proofErr w:type="spellEnd"/>
      <w:r>
        <w:rPr>
          <w:rFonts w:ascii="Perpetua" w:hAnsi="Perpetua" w:cs="Perpetua"/>
          <w:sz w:val="22"/>
        </w:rPr>
        <w:t xml:space="preserve"> &amp; Fernández, 2010).</w:t>
      </w:r>
    </w:p>
    <w:p w:rsidR="00933D45" w:rsidRDefault="00933D45" w:rsidP="006440FC"/>
    <w:p w:rsidR="00933D45" w:rsidRPr="009D42EA" w:rsidRDefault="00933D45" w:rsidP="006440FC">
      <w:pPr>
        <w:rPr>
          <w:b/>
        </w:rPr>
      </w:pPr>
      <w:r w:rsidRPr="009D42EA">
        <w:rPr>
          <w:b/>
        </w:rPr>
        <w:t xml:space="preserve">Educación </w:t>
      </w:r>
      <w:r w:rsidR="00B43112" w:rsidRPr="009D42EA">
        <w:rPr>
          <w:b/>
        </w:rPr>
        <w:t>y derechos/ciudadanía</w:t>
      </w:r>
    </w:p>
    <w:p w:rsidR="006440FC" w:rsidRDefault="006440FC" w:rsidP="006440FC">
      <w:r>
        <w:t>La evidencia muestra que los jóvenes que abandonan la</w:t>
      </w:r>
      <w:r w:rsidR="00933D45">
        <w:t xml:space="preserve"> educación formal sin completar </w:t>
      </w:r>
      <w:proofErr w:type="gramStart"/>
      <w:r>
        <w:t>los</w:t>
      </w:r>
      <w:proofErr w:type="gramEnd"/>
      <w:r>
        <w:t xml:space="preserve"> ciclos obligatorios, suelen tener menor participación </w:t>
      </w:r>
      <w:r w:rsidR="00933D45">
        <w:t xml:space="preserve">social, económica y cultural en </w:t>
      </w:r>
      <w:r>
        <w:t>otros circuitos institucionales (</w:t>
      </w:r>
      <w:proofErr w:type="spellStart"/>
      <w:r>
        <w:t>Móttola</w:t>
      </w:r>
      <w:proofErr w:type="spellEnd"/>
      <w:r>
        <w:t>, 2010).</w:t>
      </w:r>
    </w:p>
    <w:p w:rsidR="009D42EA" w:rsidRDefault="009D42EA" w:rsidP="006440FC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 w:rsidRPr="009D42EA">
        <w:rPr>
          <w:b/>
        </w:rPr>
        <w:t>Educación y trabajo</w:t>
      </w:r>
    </w:p>
    <w:p w:rsidR="009D42EA" w:rsidRPr="009D42EA" w:rsidRDefault="009D42EA" w:rsidP="006440FC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:rsidR="006440FC" w:rsidRPr="00933D45" w:rsidRDefault="006440FC" w:rsidP="006440FC">
      <w:pPr>
        <w:autoSpaceDE w:val="0"/>
        <w:autoSpaceDN w:val="0"/>
        <w:adjustRightInd w:val="0"/>
        <w:spacing w:after="0" w:line="240" w:lineRule="auto"/>
        <w:jc w:val="left"/>
      </w:pPr>
      <w:r w:rsidRPr="00933D45">
        <w:t>Se estima que la probabilidad de estar</w:t>
      </w:r>
      <w:r w:rsidR="00933D45" w:rsidRPr="00933D45">
        <w:t xml:space="preserve"> </w:t>
      </w:r>
      <w:r w:rsidRPr="00933D45">
        <w:t>excluidos del mercado de trabajo duplica la de aquellos que concluyeron la educación obligatoria</w:t>
      </w:r>
    </w:p>
    <w:p w:rsidR="006440FC" w:rsidRPr="00933D45" w:rsidRDefault="006440FC" w:rsidP="006440FC">
      <w:r w:rsidRPr="00933D45">
        <w:t>(Cardozo, 2009).</w:t>
      </w:r>
    </w:p>
    <w:p w:rsidR="009D42EA" w:rsidRPr="009D42EA" w:rsidRDefault="009D42EA" w:rsidP="006440FC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 w:rsidRPr="009D42EA">
        <w:rPr>
          <w:b/>
        </w:rPr>
        <w:t>Educación e Ingreso</w:t>
      </w:r>
    </w:p>
    <w:p w:rsidR="009D42EA" w:rsidRDefault="009D42EA" w:rsidP="006440FC">
      <w:pPr>
        <w:autoSpaceDE w:val="0"/>
        <w:autoSpaceDN w:val="0"/>
        <w:adjustRightInd w:val="0"/>
        <w:spacing w:after="0" w:line="240" w:lineRule="auto"/>
        <w:jc w:val="left"/>
      </w:pPr>
    </w:p>
    <w:p w:rsidR="006440FC" w:rsidRDefault="006440FC" w:rsidP="009D42E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933D45">
        <w:t>Además, el ingreso al que pueden aspirar a lo largo de su ciclo de vida difícilmente</w:t>
      </w:r>
      <w:r w:rsidR="009D42EA">
        <w:t xml:space="preserve"> </w:t>
      </w:r>
      <w:r w:rsidRPr="00933D45">
        <w:t>puede superar, por ejemplo, los requerimientos para salir de la pobreza, en especial si son mujeres</w:t>
      </w:r>
      <w:r w:rsidR="009D42EA">
        <w:t xml:space="preserve"> </w:t>
      </w:r>
      <w:r w:rsidRPr="00933D45">
        <w:t>jefas de hogar con dos</w:t>
      </w:r>
      <w:r>
        <w:rPr>
          <w:rFonts w:ascii="Perpetua" w:hAnsi="Perpetua" w:cs="Perpetua"/>
          <w:sz w:val="22"/>
        </w:rPr>
        <w:t xml:space="preserve"> o más hijos a su cargo (Alves et al, 2009).</w:t>
      </w:r>
    </w:p>
    <w:p w:rsidR="009D42EA" w:rsidRDefault="009D42EA" w:rsidP="009D42E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9D42EA" w:rsidRPr="009D42EA" w:rsidRDefault="009D42EA" w:rsidP="009D42EA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 w:rsidRPr="009D42EA">
        <w:rPr>
          <w:rFonts w:ascii="Perpetua" w:hAnsi="Perpetua" w:cs="Perpetua"/>
          <w:b/>
          <w:sz w:val="22"/>
        </w:rPr>
        <w:t>Educación y pobreza</w:t>
      </w:r>
    </w:p>
    <w:p w:rsidR="006440FC" w:rsidRDefault="006440FC" w:rsidP="00130DE5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De aquí que los enfoques multidimensionales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de pobreza consideren el abandono del ciclo obligatorio como un indicador nítido de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aquella condición (Boltvinik, 1999; </w:t>
      </w:r>
      <w:proofErr w:type="spellStart"/>
      <w:r>
        <w:rPr>
          <w:rFonts w:ascii="Perpetua" w:hAnsi="Perpetua" w:cs="Perpetua"/>
          <w:sz w:val="22"/>
        </w:rPr>
        <w:t>Alkire</w:t>
      </w:r>
      <w:proofErr w:type="spellEnd"/>
      <w:r>
        <w:rPr>
          <w:rFonts w:ascii="Perpetua" w:hAnsi="Perpetua" w:cs="Perpetua"/>
          <w:sz w:val="22"/>
        </w:rPr>
        <w:t xml:space="preserve"> &amp; Foster, 2007; </w:t>
      </w:r>
      <w:proofErr w:type="spellStart"/>
      <w:r>
        <w:rPr>
          <w:rFonts w:ascii="Perpetua-SC700" w:hAnsi="Perpetua-SC700" w:cs="Perpetua-SC700"/>
          <w:sz w:val="15"/>
          <w:szCs w:val="15"/>
        </w:rPr>
        <w:t>coneval</w:t>
      </w:r>
      <w:proofErr w:type="spellEnd"/>
      <w:r>
        <w:rPr>
          <w:rFonts w:ascii="Perpetua-SC700" w:hAnsi="Perpetua-SC700" w:cs="Perpetua-SC700"/>
          <w:sz w:val="22"/>
        </w:rPr>
        <w:t>, 2009</w:t>
      </w:r>
      <w:r>
        <w:rPr>
          <w:rFonts w:ascii="Perpetua" w:hAnsi="Perpetua" w:cs="Perpetua"/>
          <w:sz w:val="22"/>
        </w:rPr>
        <w:t>). Todos los programas de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alivio a la pobreza desarrollados en la región, tales como </w:t>
      </w:r>
      <w:r>
        <w:rPr>
          <w:rFonts w:ascii="Perpetua-SC700" w:hAnsi="Perpetua-SC700" w:cs="Perpetua-SC700"/>
          <w:sz w:val="22"/>
        </w:rPr>
        <w:t>O</w:t>
      </w:r>
      <w:r>
        <w:rPr>
          <w:rFonts w:ascii="Perpetua" w:hAnsi="Perpetua" w:cs="Perpetua"/>
          <w:sz w:val="22"/>
        </w:rPr>
        <w:t>portunidades de México, Chile Solidario,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Bolsa </w:t>
      </w:r>
      <w:proofErr w:type="spellStart"/>
      <w:r>
        <w:rPr>
          <w:rFonts w:ascii="Perpetua" w:hAnsi="Perpetua" w:cs="Perpetua"/>
          <w:sz w:val="22"/>
        </w:rPr>
        <w:t>Escola</w:t>
      </w:r>
      <w:proofErr w:type="spellEnd"/>
      <w:r>
        <w:rPr>
          <w:rFonts w:ascii="Perpetua" w:hAnsi="Perpetua" w:cs="Perpetua"/>
          <w:sz w:val="22"/>
        </w:rPr>
        <w:t xml:space="preserve"> de Brasil o el P</w:t>
      </w:r>
      <w:r>
        <w:rPr>
          <w:rFonts w:ascii="Perpetua-SC700" w:hAnsi="Perpetua-SC700" w:cs="Perpetua-SC700"/>
          <w:sz w:val="15"/>
          <w:szCs w:val="15"/>
        </w:rPr>
        <w:t xml:space="preserve">anes </w:t>
      </w:r>
      <w:r>
        <w:rPr>
          <w:rFonts w:ascii="Perpetua" w:hAnsi="Perpetua" w:cs="Perpetua"/>
          <w:sz w:val="22"/>
        </w:rPr>
        <w:t>y las Asignaciones Familiares de Uruguay, tienen a la educación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formal como componente estratégico; sea porque incentivan a las familias para que los niños y adolescentes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se inscriban, asistan y completen al menos la educación obligatoria, sea porque promueven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la educación de los adultos por distintas vías (Cohen &amp; Franco, 2006; </w:t>
      </w:r>
      <w:proofErr w:type="spellStart"/>
      <w:r>
        <w:rPr>
          <w:rFonts w:ascii="Perpetua-SC700" w:hAnsi="Perpetua-SC700" w:cs="Perpetua-SC700"/>
          <w:sz w:val="15"/>
          <w:szCs w:val="15"/>
        </w:rPr>
        <w:t>wb</w:t>
      </w:r>
      <w:proofErr w:type="spellEnd"/>
      <w:r>
        <w:rPr>
          <w:rFonts w:ascii="Perpetua-SC700" w:hAnsi="Perpetua-SC700" w:cs="Perpetua-SC700"/>
          <w:sz w:val="22"/>
        </w:rPr>
        <w:t>, 2009</w:t>
      </w:r>
      <w:r>
        <w:rPr>
          <w:rFonts w:ascii="Perpetua" w:hAnsi="Perpetua" w:cs="Perpetua"/>
          <w:sz w:val="22"/>
        </w:rPr>
        <w:t>).</w:t>
      </w:r>
    </w:p>
    <w:p w:rsidR="00130DE5" w:rsidRDefault="00130DE5" w:rsidP="00130DE5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6440FC" w:rsidRDefault="006440FC" w:rsidP="00130DE5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Finalmente, en las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políticas de formación laboral para jóvenes pobres se está tendiendo a incorporar como componente</w:t>
      </w:r>
      <w:r w:rsidR="00130DE5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vertebral la acreditación de los ciclos obligatorios de educación (Jacinto, 2006).</w:t>
      </w:r>
    </w:p>
    <w:p w:rsidR="00130DE5" w:rsidRDefault="00130DE5" w:rsidP="006440FC">
      <w:pPr>
        <w:rPr>
          <w:rFonts w:ascii="Perpetua" w:hAnsi="Perpetua" w:cs="Perpetua"/>
          <w:sz w:val="22"/>
        </w:rPr>
      </w:pPr>
    </w:p>
    <w:p w:rsidR="006440FC" w:rsidRDefault="006440FC" w:rsidP="006440FC">
      <w:pPr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lastRenderedPageBreak/>
        <w:t>Es diferente depende del nivel</w:t>
      </w:r>
    </w:p>
    <w:p w:rsidR="009D42EA" w:rsidRDefault="009D42EA" w:rsidP="006440FC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N</w:t>
      </w:r>
      <w:r w:rsidR="006440FC">
        <w:rPr>
          <w:rFonts w:ascii="Perpetua" w:hAnsi="Perpetua" w:cs="Perpetua"/>
          <w:sz w:val="22"/>
        </w:rPr>
        <w:t>o es lo mismo explicar este fenómeno en la infancia, en la adolescencia o en la</w:t>
      </w:r>
      <w:r>
        <w:rPr>
          <w:rFonts w:ascii="Perpetua" w:hAnsi="Perpetua" w:cs="Perpetua"/>
          <w:sz w:val="22"/>
        </w:rPr>
        <w:t xml:space="preserve"> </w:t>
      </w:r>
      <w:r w:rsidR="006440FC">
        <w:rPr>
          <w:rFonts w:ascii="Perpetua" w:hAnsi="Perpetua" w:cs="Perpetua"/>
          <w:sz w:val="22"/>
        </w:rPr>
        <w:t>juventud</w:t>
      </w:r>
    </w:p>
    <w:p w:rsidR="009D42EA" w:rsidRPr="009D42EA" w:rsidRDefault="006440FC" w:rsidP="009D42E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9D42EA">
        <w:rPr>
          <w:rFonts w:ascii="Perpetua" w:hAnsi="Perpetua" w:cs="Perpetua"/>
          <w:sz w:val="22"/>
        </w:rPr>
        <w:t xml:space="preserve">la naturaleza </w:t>
      </w:r>
      <w:r w:rsidRPr="009D42EA">
        <w:rPr>
          <w:rFonts w:ascii="Perpetua-Italic" w:hAnsi="Perpetua-Italic" w:cs="Perpetua-Italic"/>
          <w:i/>
          <w:iCs/>
          <w:sz w:val="22"/>
        </w:rPr>
        <w:t xml:space="preserve">voluntaria </w:t>
      </w:r>
      <w:r w:rsidRPr="009D42EA">
        <w:rPr>
          <w:rFonts w:ascii="Perpetua" w:hAnsi="Perpetua" w:cs="Perpetua"/>
          <w:sz w:val="22"/>
        </w:rPr>
        <w:t>(y por ende</w:t>
      </w:r>
      <w:r w:rsidR="009D42EA" w:rsidRPr="009D42EA">
        <w:rPr>
          <w:rFonts w:ascii="Perpetua" w:hAnsi="Perpetua" w:cs="Perpetua"/>
          <w:sz w:val="22"/>
        </w:rPr>
        <w:t xml:space="preserve"> </w:t>
      </w:r>
      <w:r w:rsidRPr="009D42EA">
        <w:rPr>
          <w:rFonts w:ascii="Perpetua" w:hAnsi="Perpetua" w:cs="Perpetua"/>
          <w:sz w:val="22"/>
        </w:rPr>
        <w:t>racional) del fenómeno al punto que algunos autores rechazan la idea de que se trate de un “acto”;</w:t>
      </w:r>
    </w:p>
    <w:p w:rsidR="009D42EA" w:rsidRDefault="006440FC" w:rsidP="006440F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9D42EA">
        <w:rPr>
          <w:rFonts w:ascii="Perpetua" w:hAnsi="Perpetua" w:cs="Perpetua"/>
          <w:sz w:val="22"/>
        </w:rPr>
        <w:t xml:space="preserve">la naturaleza </w:t>
      </w:r>
      <w:r w:rsidRPr="009D42EA">
        <w:rPr>
          <w:rFonts w:ascii="Perpetua-Italic" w:hAnsi="Perpetua-Italic" w:cs="Perpetua-Italic"/>
          <w:i/>
          <w:iCs/>
          <w:sz w:val="22"/>
        </w:rPr>
        <w:t xml:space="preserve">endógena o exógena </w:t>
      </w:r>
      <w:r w:rsidRPr="009D42EA">
        <w:rPr>
          <w:rFonts w:ascii="Perpetua" w:hAnsi="Perpetua" w:cs="Perpetua"/>
          <w:sz w:val="22"/>
        </w:rPr>
        <w:t>a la educación de las causas eficie</w:t>
      </w:r>
      <w:r w:rsidR="009D42EA">
        <w:rPr>
          <w:rFonts w:ascii="Perpetua" w:hAnsi="Perpetua" w:cs="Perpetua"/>
          <w:sz w:val="22"/>
        </w:rPr>
        <w:t>ntes del fenómeno</w:t>
      </w:r>
    </w:p>
    <w:p w:rsidR="006440FC" w:rsidRDefault="006440FC" w:rsidP="006440F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9D42EA">
        <w:rPr>
          <w:rFonts w:ascii="Perpetua" w:hAnsi="Perpetua" w:cs="Perpetua"/>
          <w:sz w:val="22"/>
        </w:rPr>
        <w:t xml:space="preserve">el </w:t>
      </w:r>
      <w:r w:rsidRPr="009D42EA">
        <w:rPr>
          <w:rFonts w:ascii="Perpetua-Italic" w:hAnsi="Perpetua-Italic" w:cs="Perpetua-Italic"/>
          <w:i/>
          <w:iCs/>
          <w:sz w:val="22"/>
        </w:rPr>
        <w:t>peso relativo</w:t>
      </w:r>
      <w:r w:rsidR="009D42EA">
        <w:rPr>
          <w:rFonts w:ascii="Perpetua-Italic" w:hAnsi="Perpetua-Italic" w:cs="Perpetua-Italic"/>
          <w:i/>
          <w:iCs/>
          <w:sz w:val="22"/>
        </w:rPr>
        <w:t xml:space="preserve"> </w:t>
      </w:r>
      <w:r w:rsidRPr="009D42EA">
        <w:rPr>
          <w:rFonts w:ascii="Perpetua" w:hAnsi="Perpetua" w:cs="Perpetua"/>
          <w:sz w:val="22"/>
        </w:rPr>
        <w:t>de los factores colectivos y macrosociales frente a los factores socio-familiares y biográficos</w:t>
      </w:r>
    </w:p>
    <w:p w:rsidR="009D42EA" w:rsidRPr="009D42EA" w:rsidRDefault="009D42EA" w:rsidP="009D42EA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left"/>
        <w:rPr>
          <w:rFonts w:ascii="Perpetua" w:hAnsi="Perpetua" w:cs="Perpetua"/>
          <w:sz w:val="22"/>
        </w:rPr>
      </w:pPr>
    </w:p>
    <w:p w:rsidR="006440FC" w:rsidRDefault="00076964" w:rsidP="006E311B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Si nos circunscribimos al período etario al cual este proyecto se acotó (entre los 15 y 24 años),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se constata que en la explicación de la “deserción” en la </w:t>
      </w:r>
      <w:proofErr w:type="spellStart"/>
      <w:r>
        <w:rPr>
          <w:rFonts w:ascii="Perpetua" w:hAnsi="Perpetua" w:cs="Perpetua"/>
          <w:sz w:val="22"/>
        </w:rPr>
        <w:t>E</w:t>
      </w:r>
      <w:r>
        <w:rPr>
          <w:rFonts w:ascii="Perpetua-SC700" w:hAnsi="Perpetua-SC700" w:cs="Perpetua-SC700"/>
          <w:sz w:val="15"/>
          <w:szCs w:val="15"/>
        </w:rPr>
        <w:t>ms</w:t>
      </w:r>
      <w:proofErr w:type="spellEnd"/>
      <w:r>
        <w:rPr>
          <w:rFonts w:ascii="Perpetua-SC700" w:hAnsi="Perpetua-SC700" w:cs="Perpetua-SC700"/>
          <w:sz w:val="15"/>
          <w:szCs w:val="15"/>
        </w:rPr>
        <w:t xml:space="preserve"> </w:t>
      </w:r>
      <w:r>
        <w:rPr>
          <w:rFonts w:ascii="Perpetua" w:hAnsi="Perpetua" w:cs="Perpetua"/>
          <w:sz w:val="22"/>
        </w:rPr>
        <w:t>se recurre a un esquema lógico donde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predominan los factores exógenos a la enseñanza, fundamentalmente macrosociales (violencia, ciclo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económico, políticas públicas), o socio-familiares estructurales (clase social, pobreza, constitución/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ruptura del hogar, adicciones, desmotivación). En esta línea no existe apoyo para fundamentar la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racionalidad del estudiante que deja el sistema educativo y se apoya la tesis de que se trata más bien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de un “padecimiento externo”</w:t>
      </w:r>
      <w:r>
        <w:rPr>
          <w:rFonts w:ascii="Perpetua" w:hAnsi="Perpetua" w:cs="Perpetua"/>
          <w:sz w:val="12"/>
          <w:szCs w:val="12"/>
        </w:rPr>
        <w:t xml:space="preserve">11 </w:t>
      </w:r>
      <w:r>
        <w:rPr>
          <w:rFonts w:ascii="Perpetua" w:hAnsi="Perpetua" w:cs="Perpetua"/>
          <w:sz w:val="22"/>
        </w:rPr>
        <w:t>(</w:t>
      </w:r>
      <w:proofErr w:type="spellStart"/>
      <w:r>
        <w:rPr>
          <w:rFonts w:ascii="Perpetua-SC700" w:hAnsi="Perpetua-SC700" w:cs="Perpetua-SC700"/>
          <w:sz w:val="15"/>
          <w:szCs w:val="15"/>
        </w:rPr>
        <w:t>pnud</w:t>
      </w:r>
      <w:r>
        <w:rPr>
          <w:rFonts w:ascii="Perpetua-SC700" w:hAnsi="Perpetua-SC700" w:cs="Perpetua-SC700"/>
          <w:sz w:val="22"/>
        </w:rPr>
        <w:t>-</w:t>
      </w:r>
      <w:r>
        <w:rPr>
          <w:rFonts w:ascii="Perpetua-SC700" w:hAnsi="Perpetua-SC700" w:cs="Perpetua-SC700"/>
          <w:sz w:val="15"/>
          <w:szCs w:val="15"/>
        </w:rPr>
        <w:t>iipe</w:t>
      </w:r>
      <w:proofErr w:type="spellEnd"/>
      <w:r>
        <w:rPr>
          <w:rFonts w:ascii="Perpetua" w:hAnsi="Perpetua" w:cs="Perpetua"/>
          <w:sz w:val="22"/>
        </w:rPr>
        <w:t>, 2009).</w:t>
      </w:r>
    </w:p>
    <w:p w:rsidR="006E311B" w:rsidRDefault="006E311B" w:rsidP="006E311B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076964" w:rsidRDefault="00076964" w:rsidP="00076964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 xml:space="preserve">Al contrario, en las explicaciones propuestas para la </w:t>
      </w:r>
      <w:r>
        <w:rPr>
          <w:rFonts w:ascii="Perpetua-SC700" w:hAnsi="Perpetua-SC700" w:cs="Perpetua-SC700"/>
          <w:sz w:val="15"/>
          <w:szCs w:val="15"/>
        </w:rPr>
        <w:t xml:space="preserve">es </w:t>
      </w:r>
      <w:r>
        <w:rPr>
          <w:rFonts w:ascii="Perpetua" w:hAnsi="Perpetua" w:cs="Perpetua"/>
          <w:sz w:val="22"/>
        </w:rPr>
        <w:t>clásicamente desde el enfoque elaborado</w:t>
      </w:r>
    </w:p>
    <w:p w:rsidR="00076964" w:rsidRPr="006E311B" w:rsidRDefault="00076964" w:rsidP="006E311B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por</w:t>
      </w:r>
      <w:proofErr w:type="gramEnd"/>
      <w:r>
        <w:rPr>
          <w:rFonts w:ascii="Perpetua" w:hAnsi="Perpetua" w:cs="Perpetua"/>
          <w:sz w:val="22"/>
        </w:rPr>
        <w:t xml:space="preserve"> </w:t>
      </w:r>
      <w:proofErr w:type="spellStart"/>
      <w:r>
        <w:rPr>
          <w:rFonts w:ascii="Perpetua" w:hAnsi="Perpetua" w:cs="Perpetua"/>
          <w:sz w:val="22"/>
        </w:rPr>
        <w:t>Vincent</w:t>
      </w:r>
      <w:proofErr w:type="spellEnd"/>
      <w:r>
        <w:rPr>
          <w:rFonts w:ascii="Perpetua" w:hAnsi="Perpetua" w:cs="Perpetua"/>
          <w:sz w:val="22"/>
        </w:rPr>
        <w:t xml:space="preserve"> Tinto en 1977, se enfatizan los aspectos individuales racionales como la vocación o el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proyecto de vida, y los factores endógenos a la educación, como el tipo de vínculo construido con las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distintas escuelas transitadas, tanto en las dimensiones sociales como académicas</w:t>
      </w:r>
      <w:r>
        <w:rPr>
          <w:rFonts w:ascii="Perpetua" w:hAnsi="Perpetua" w:cs="Perpetua"/>
          <w:sz w:val="12"/>
          <w:szCs w:val="12"/>
        </w:rPr>
        <w:t>12</w:t>
      </w:r>
    </w:p>
    <w:p w:rsidR="006E311B" w:rsidRDefault="006E311B" w:rsidP="006B249F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6B249F" w:rsidRDefault="006B249F" w:rsidP="006B249F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Escuela y pobreza</w:t>
      </w:r>
    </w:p>
    <w:p w:rsidR="006B249F" w:rsidRDefault="006B249F" w:rsidP="006B249F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Como necesidad básica</w:t>
      </w:r>
    </w:p>
    <w:p w:rsidR="006B249F" w:rsidRDefault="006B249F" w:rsidP="006E311B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La vida autónoma en relación, y por tanto moralmente responsable, exige que el individuo pueda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realizar opciones informadas sobre lo que hay que hacer y cómo hay que hacerlo según la estructura</w:t>
      </w:r>
      <w:r w:rsidR="006E311B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de la sociedad (Doyal &amp; Gough, 1994).</w:t>
      </w:r>
    </w:p>
    <w:p w:rsidR="006E311B" w:rsidRDefault="006E311B" w:rsidP="00010D97">
      <w:pPr>
        <w:rPr>
          <w:rFonts w:ascii="Perpetua" w:hAnsi="Perpetua" w:cs="Perpetua"/>
          <w:sz w:val="28"/>
          <w:szCs w:val="28"/>
        </w:rPr>
      </w:pPr>
    </w:p>
    <w:p w:rsidR="006B249F" w:rsidRDefault="00010D97" w:rsidP="00010D97">
      <w:pPr>
        <w:rPr>
          <w:rFonts w:ascii="Perpetua" w:hAnsi="Perpetua" w:cs="Perpetua"/>
          <w:sz w:val="28"/>
          <w:szCs w:val="28"/>
        </w:rPr>
      </w:pPr>
      <w:r w:rsidRPr="00010D97">
        <w:rPr>
          <w:rFonts w:ascii="Perpetua" w:hAnsi="Perpetua" w:cs="Perpetua"/>
          <w:sz w:val="28"/>
          <w:szCs w:val="28"/>
        </w:rPr>
        <w:t>Enfoques para expl</w:t>
      </w:r>
      <w:r>
        <w:rPr>
          <w:rFonts w:ascii="Perpetua" w:hAnsi="Perpetua" w:cs="Perpetua"/>
          <w:sz w:val="28"/>
          <w:szCs w:val="28"/>
        </w:rPr>
        <w:t xml:space="preserve">icar </w:t>
      </w:r>
      <w:r w:rsidRPr="00010D97">
        <w:rPr>
          <w:rFonts w:ascii="Perpetua" w:hAnsi="Perpetua" w:cs="Perpetua"/>
          <w:sz w:val="28"/>
          <w:szCs w:val="28"/>
        </w:rPr>
        <w:t>la desafiliación</w:t>
      </w:r>
    </w:p>
    <w:p w:rsidR="00010D97" w:rsidRDefault="00010D97" w:rsidP="00EC7C86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el</w:t>
      </w:r>
      <w:proofErr w:type="gramEnd"/>
      <w:r>
        <w:rPr>
          <w:rFonts w:ascii="Perpetua" w:hAnsi="Perpetua" w:cs="Perpetua"/>
          <w:sz w:val="22"/>
        </w:rPr>
        <w:t xml:space="preserve"> joven concluye anticipadamente su membrecía al sistema educativo y finaliza con las protecciones</w:t>
      </w:r>
      <w:r w:rsidR="00EC7C86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sociales asociadas a la educación, quedando en una posición vulnerable o directamente</w:t>
      </w:r>
      <w:r w:rsidR="00EC7C86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excluido de los circuitos institucionales.</w:t>
      </w:r>
    </w:p>
    <w:p w:rsidR="00EC7C86" w:rsidRDefault="00EC7C86" w:rsidP="00EC7C86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010D97" w:rsidRDefault="00010D97" w:rsidP="00010D97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primero</w:t>
      </w:r>
      <w:proofErr w:type="gramEnd"/>
      <w:r>
        <w:rPr>
          <w:rFonts w:ascii="Perpetua" w:hAnsi="Perpetua" w:cs="Perpetua"/>
          <w:sz w:val="22"/>
        </w:rPr>
        <w:t xml:space="preserve"> refiere al nivel de análisis de la sociedad a la que pertenecen las dimensiones, factores</w:t>
      </w:r>
    </w:p>
    <w:p w:rsidR="00010D97" w:rsidRDefault="00010D97" w:rsidP="00010D97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o</w:t>
      </w:r>
      <w:proofErr w:type="gramEnd"/>
      <w:r>
        <w:rPr>
          <w:rFonts w:ascii="Perpetua" w:hAnsi="Perpetua" w:cs="Perpetua"/>
          <w:sz w:val="22"/>
        </w:rPr>
        <w:t xml:space="preserve"> variables en las que focaliza la explicación. A grandes rasgos, se distinguen aquí los niveles</w:t>
      </w:r>
    </w:p>
    <w:p w:rsidR="00010D97" w:rsidRDefault="00010D97" w:rsidP="00010D97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“micro-social”, generalmente representado por el individuo y su familiar, y el nivel “macrosocial”,</w:t>
      </w:r>
      <w:r w:rsidR="00EC7C86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representado por la sociedad nacional y la sociedad planetaria. En esta dicotomía, siempre</w:t>
      </w:r>
    </w:p>
    <w:p w:rsidR="00010D97" w:rsidRDefault="00010D97" w:rsidP="00010D97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se</w:t>
      </w:r>
      <w:proofErr w:type="gramEnd"/>
      <w:r>
        <w:rPr>
          <w:rFonts w:ascii="Perpetua" w:hAnsi="Perpetua" w:cs="Perpetua"/>
          <w:sz w:val="22"/>
        </w:rPr>
        <w:t xml:space="preserve"> ha cuestionado la posición que debe ocupar el nivel de análisis de lo local (la comunidad,</w:t>
      </w:r>
    </w:p>
    <w:p w:rsidR="00010D97" w:rsidRDefault="00010D97" w:rsidP="00010D97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el</w:t>
      </w:r>
      <w:proofErr w:type="gramEnd"/>
      <w:r>
        <w:rPr>
          <w:rFonts w:ascii="Perpetua" w:hAnsi="Perpetua" w:cs="Perpetua"/>
          <w:sz w:val="22"/>
        </w:rPr>
        <w:t xml:space="preserve"> barrio, la localidad) y las organizaciones. Una posibilidad es destacarlo como un nivel intermedio,</w:t>
      </w:r>
    </w:p>
    <w:p w:rsidR="00010D97" w:rsidRDefault="00010D97" w:rsidP="00010D97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“meso social”; la solución es muy útil para organizar explicaciones que buscan destacar</w:t>
      </w:r>
    </w:p>
    <w:p w:rsidR="00010D97" w:rsidRDefault="00010D97" w:rsidP="00010D97">
      <w:pPr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los</w:t>
      </w:r>
      <w:proofErr w:type="gramEnd"/>
      <w:r>
        <w:rPr>
          <w:rFonts w:ascii="Perpetua" w:hAnsi="Perpetua" w:cs="Perpetua"/>
          <w:sz w:val="22"/>
        </w:rPr>
        <w:t xml:space="preserve"> factores escolares</w:t>
      </w:r>
    </w:p>
    <w:p w:rsidR="00EF7D1C" w:rsidRDefault="00EF7D1C" w:rsidP="00010D97">
      <w:pPr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 xml:space="preserve">No me convence la tabla de seis celdas. Me quedaría con los tres niveles. </w:t>
      </w:r>
    </w:p>
    <w:p w:rsidR="006377C7" w:rsidRDefault="006377C7" w:rsidP="00010D97">
      <w:pPr>
        <w:rPr>
          <w:rFonts w:ascii="MyriadPro-Cond" w:hAnsi="MyriadPro-Cond" w:cs="MyriadPro-Cond"/>
          <w:sz w:val="30"/>
          <w:szCs w:val="30"/>
        </w:rPr>
      </w:pPr>
      <w:r>
        <w:rPr>
          <w:rFonts w:ascii="MyriadPro-Cond" w:hAnsi="MyriadPro-Cond" w:cs="MyriadPro-Cond"/>
          <w:sz w:val="30"/>
          <w:szCs w:val="30"/>
        </w:rPr>
        <w:t>Esquema de análisis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MyriadPro-Cond" w:hAnsi="MyriadPro-Cond" w:cs="MyriadPro-Cond"/>
          <w:color w:val="000000"/>
          <w:sz w:val="30"/>
          <w:szCs w:val="30"/>
        </w:rPr>
      </w:pPr>
      <w:r>
        <w:rPr>
          <w:rFonts w:ascii="MyriadPro-Cond" w:hAnsi="MyriadPro-Cond" w:cs="MyriadPro-Cond"/>
          <w:color w:val="000000"/>
          <w:sz w:val="30"/>
          <w:szCs w:val="30"/>
        </w:rPr>
        <w:lastRenderedPageBreak/>
        <w:t xml:space="preserve">Explicaciones </w:t>
      </w:r>
      <w:proofErr w:type="spellStart"/>
      <w:r>
        <w:rPr>
          <w:rFonts w:ascii="MyriadPro-Cond" w:hAnsi="MyriadPro-Cond" w:cs="MyriadPro-Cond"/>
          <w:color w:val="000000"/>
          <w:sz w:val="30"/>
          <w:szCs w:val="30"/>
        </w:rPr>
        <w:t>mesosociales</w:t>
      </w:r>
      <w:proofErr w:type="spellEnd"/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 xml:space="preserve">Dos grandes grupos de enfoques: aquellos que prestan atención a la localidad o el barrio de la escuela y aquellos que se focalizan en las características organizacionales de la escuela en sí misma. Estas teorías suponen que la decisión de desafiliación </w:t>
      </w:r>
      <w:r>
        <w:rPr>
          <w:rFonts w:ascii="Perpetua-Italic" w:hAnsi="Perpetua-Italic" w:cs="Perpetua-Italic"/>
          <w:i/>
          <w:iCs/>
          <w:color w:val="000000"/>
          <w:sz w:val="22"/>
        </w:rPr>
        <w:t xml:space="preserve">no </w:t>
      </w:r>
      <w:r>
        <w:rPr>
          <w:rFonts w:ascii="Perpetua" w:hAnsi="Perpetua" w:cs="Perpetua"/>
          <w:color w:val="000000"/>
          <w:sz w:val="22"/>
        </w:rPr>
        <w:t xml:space="preserve">es el resultado </w:t>
      </w:r>
      <w:r>
        <w:rPr>
          <w:rFonts w:ascii="Perpetua-Italic" w:hAnsi="Perpetua-Italic" w:cs="Perpetua-Italic"/>
          <w:i/>
          <w:iCs/>
          <w:color w:val="000000"/>
          <w:sz w:val="22"/>
        </w:rPr>
        <w:t xml:space="preserve">exclusivo ni principal </w:t>
      </w:r>
      <w:r>
        <w:rPr>
          <w:rFonts w:ascii="Perpetua" w:hAnsi="Perpetua" w:cs="Perpetua"/>
          <w:color w:val="000000"/>
          <w:sz w:val="22"/>
        </w:rPr>
        <w:t>de factores individuales ni posicionales sino que deben sopesarse las características de los territorios o de las organizaciones a las que pertenecen los jóvenes, propiedades que operan estableciendo pisos o techos comunes a todos los que comparten dichos contextos o membrecías.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 xml:space="preserve">En los países anglosajones y de Europa continental, el enfoque más extendido sobre la desafiliación sostiene que las causas profundas y más relevantes radican en la </w:t>
      </w:r>
      <w:r>
        <w:rPr>
          <w:rFonts w:ascii="Perpetua-Italic" w:hAnsi="Perpetua-Italic" w:cs="Perpetua-Italic"/>
          <w:i/>
          <w:iCs/>
          <w:color w:val="000000"/>
          <w:sz w:val="22"/>
        </w:rPr>
        <w:t>marginación</w:t>
      </w:r>
      <w:r>
        <w:rPr>
          <w:rFonts w:ascii="Perpetua" w:hAnsi="Perpetua" w:cs="Perpetua"/>
          <w:color w:val="000000"/>
          <w:sz w:val="13"/>
          <w:szCs w:val="13"/>
        </w:rPr>
        <w:t xml:space="preserve">22 </w:t>
      </w:r>
      <w:proofErr w:type="spellStart"/>
      <w:r>
        <w:rPr>
          <w:rFonts w:ascii="Perpetua-Italic" w:hAnsi="Perpetua-Italic" w:cs="Perpetua-Italic"/>
          <w:i/>
          <w:iCs/>
          <w:color w:val="000000"/>
          <w:sz w:val="22"/>
        </w:rPr>
        <w:t>socioterritorial</w:t>
      </w:r>
      <w:proofErr w:type="spellEnd"/>
      <w:r>
        <w:rPr>
          <w:rFonts w:ascii="Perpetua-Italic" w:hAnsi="Perpetua-Italic" w:cs="Perpetua-Italic"/>
          <w:i/>
          <w:iCs/>
          <w:color w:val="000000"/>
          <w:sz w:val="22"/>
        </w:rPr>
        <w:t xml:space="preserve"> </w:t>
      </w:r>
      <w:r w:rsidR="006736ED">
        <w:rPr>
          <w:rFonts w:ascii="Perpetua" w:hAnsi="Perpetua" w:cs="Perpetua"/>
          <w:color w:val="000000"/>
          <w:sz w:val="22"/>
        </w:rPr>
        <w:t xml:space="preserve">que </w:t>
      </w:r>
      <w:r>
        <w:rPr>
          <w:rFonts w:ascii="Perpetua" w:hAnsi="Perpetua" w:cs="Perpetua"/>
          <w:color w:val="000000"/>
          <w:sz w:val="22"/>
        </w:rPr>
        <w:t>caracteriza a ciertos barrios con altos niveles de carencias materiale</w:t>
      </w:r>
      <w:r w:rsidR="006736ED">
        <w:rPr>
          <w:rFonts w:ascii="Perpetua" w:hAnsi="Perpetua" w:cs="Perpetua"/>
          <w:color w:val="000000"/>
          <w:sz w:val="22"/>
        </w:rPr>
        <w:t xml:space="preserve">s y de servicios públicos, o de </w:t>
      </w:r>
      <w:r>
        <w:rPr>
          <w:rFonts w:ascii="Perpetua" w:hAnsi="Perpetua" w:cs="Perpetua"/>
          <w:color w:val="000000"/>
          <w:sz w:val="22"/>
        </w:rPr>
        <w:t>localidades con alta concentración de minorías étnicas y/o raciales, en muchos casos</w:t>
      </w:r>
      <w:r w:rsidR="006736ED">
        <w:rPr>
          <w:rFonts w:ascii="Perpetua" w:hAnsi="Perpetua" w:cs="Perpetua"/>
          <w:color w:val="000000"/>
          <w:sz w:val="22"/>
        </w:rPr>
        <w:t xml:space="preserve"> con alta proporción </w:t>
      </w:r>
      <w:r>
        <w:rPr>
          <w:rFonts w:ascii="Perpetua" w:hAnsi="Perpetua" w:cs="Perpetua"/>
          <w:color w:val="000000"/>
          <w:sz w:val="22"/>
        </w:rPr>
        <w:t>de inmigrantes. El impacto sobre la desafiliación que tienen la</w:t>
      </w:r>
      <w:r w:rsidR="006736ED">
        <w:rPr>
          <w:rFonts w:ascii="Perpetua" w:hAnsi="Perpetua" w:cs="Perpetua"/>
          <w:color w:val="000000"/>
          <w:sz w:val="22"/>
        </w:rPr>
        <w:t xml:space="preserve">s características contextuales, </w:t>
      </w:r>
      <w:r>
        <w:rPr>
          <w:rFonts w:ascii="Perpetua" w:hAnsi="Perpetua" w:cs="Perpetua"/>
          <w:color w:val="000000"/>
          <w:sz w:val="22"/>
        </w:rPr>
        <w:t>sería mucho más fuerte que otras más clásicas, como la clase social</w:t>
      </w:r>
      <w:r>
        <w:rPr>
          <w:rFonts w:ascii="Perpetua" w:hAnsi="Perpetua" w:cs="Perpetua"/>
          <w:color w:val="000000"/>
          <w:sz w:val="13"/>
          <w:szCs w:val="13"/>
        </w:rPr>
        <w:t>23</w:t>
      </w:r>
      <w:r>
        <w:rPr>
          <w:rFonts w:ascii="Perpetua" w:hAnsi="Perpetua" w:cs="Perpetua"/>
          <w:color w:val="000000"/>
          <w:sz w:val="22"/>
        </w:rPr>
        <w:t>.</w:t>
      </w:r>
      <w:r w:rsidR="006736ED">
        <w:rPr>
          <w:rFonts w:ascii="Perpetua" w:hAnsi="Perpetua" w:cs="Perpetua"/>
          <w:color w:val="000000"/>
          <w:sz w:val="22"/>
        </w:rPr>
        <w:t xml:space="preserve"> Estas explicaciones se asocian </w:t>
      </w:r>
      <w:r>
        <w:rPr>
          <w:rFonts w:ascii="Perpetua" w:hAnsi="Perpetua" w:cs="Perpetua"/>
          <w:color w:val="000000"/>
          <w:sz w:val="22"/>
        </w:rPr>
        <w:t>con la particular atención que en los Estados Unidos se le viene prestando desde los años sesenta a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las</w:t>
      </w:r>
      <w:proofErr w:type="gramEnd"/>
      <w:r>
        <w:rPr>
          <w:rFonts w:ascii="Perpetua" w:hAnsi="Perpetua" w:cs="Perpetua"/>
          <w:color w:val="000000"/>
          <w:sz w:val="22"/>
        </w:rPr>
        <w:t xml:space="preserve"> áreas residenciales segregadas, con alta concentración de negros y/o de hispanos. En uno y otro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caso</w:t>
      </w:r>
      <w:proofErr w:type="gramEnd"/>
      <w:r>
        <w:rPr>
          <w:rFonts w:ascii="Perpetua" w:hAnsi="Perpetua" w:cs="Perpetua"/>
          <w:color w:val="000000"/>
          <w:sz w:val="22"/>
        </w:rPr>
        <w:t xml:space="preserve">, los mecanismos explicativos apelan a relaciones </w:t>
      </w:r>
      <w:r>
        <w:rPr>
          <w:rFonts w:ascii="Perpetua-Italic" w:hAnsi="Perpetua-Italic" w:cs="Perpetua-Italic"/>
          <w:i/>
          <w:iCs/>
          <w:color w:val="000000"/>
          <w:sz w:val="22"/>
        </w:rPr>
        <w:t>ecológicas</w:t>
      </w:r>
      <w:r>
        <w:rPr>
          <w:rFonts w:ascii="Perpetua" w:hAnsi="Perpetua" w:cs="Perpetua"/>
          <w:color w:val="000000"/>
          <w:sz w:val="22"/>
        </w:rPr>
        <w:t>, algunas de ellas estudiadas en forma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pionera</w:t>
      </w:r>
      <w:proofErr w:type="gramEnd"/>
      <w:r>
        <w:rPr>
          <w:rFonts w:ascii="Perpetua" w:hAnsi="Perpetua" w:cs="Perpetua"/>
          <w:color w:val="000000"/>
          <w:sz w:val="22"/>
        </w:rPr>
        <w:t xml:space="preserve"> por la Escuela de Chicago de Sociología urbana en las décadas diez y veinte del siglo pasado.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>El enfoque de la marginación resulta de gran utilidad para elaborar políticas, ya que cuenta con un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indicador</w:t>
      </w:r>
      <w:proofErr w:type="gramEnd"/>
      <w:r>
        <w:rPr>
          <w:rFonts w:ascii="Perpetua" w:hAnsi="Perpetua" w:cs="Perpetua"/>
          <w:color w:val="000000"/>
          <w:sz w:val="22"/>
        </w:rPr>
        <w:t xml:space="preserve"> muy simple para llevar adelante una focalización preliminar. Es una práctica eficiente y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frecuente</w:t>
      </w:r>
      <w:proofErr w:type="gramEnd"/>
      <w:r>
        <w:rPr>
          <w:rFonts w:ascii="Perpetua" w:hAnsi="Perpetua" w:cs="Perpetua"/>
          <w:color w:val="000000"/>
          <w:sz w:val="22"/>
        </w:rPr>
        <w:t xml:space="preserve"> tanto en Estados Unidos, como en las grandes ciudades de Europa Occidental como también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en</w:t>
      </w:r>
      <w:proofErr w:type="gramEnd"/>
      <w:r>
        <w:rPr>
          <w:rFonts w:ascii="Perpetua" w:hAnsi="Perpetua" w:cs="Perpetua"/>
          <w:color w:val="000000"/>
          <w:sz w:val="22"/>
        </w:rPr>
        <w:t xml:space="preserve"> varios países de América Latina. Típicamente, el primer paso será seleccionar a la población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beneficiaria</w:t>
      </w:r>
      <w:proofErr w:type="gramEnd"/>
      <w:r>
        <w:rPr>
          <w:rFonts w:ascii="Perpetua" w:hAnsi="Perpetua" w:cs="Perpetua"/>
          <w:color w:val="000000"/>
          <w:sz w:val="22"/>
        </w:rPr>
        <w:t xml:space="preserve"> de un programa utilizando información sobre la variable explicativa (incluyendo escuelas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proofErr w:type="gramStart"/>
      <w:r>
        <w:rPr>
          <w:rFonts w:ascii="Perpetua" w:hAnsi="Perpetua" w:cs="Perpetua"/>
          <w:color w:val="000000"/>
          <w:sz w:val="22"/>
        </w:rPr>
        <w:t>que</w:t>
      </w:r>
      <w:proofErr w:type="gramEnd"/>
      <w:r>
        <w:rPr>
          <w:rFonts w:ascii="Perpetua" w:hAnsi="Perpetua" w:cs="Perpetua"/>
          <w:color w:val="000000"/>
          <w:sz w:val="22"/>
        </w:rPr>
        <w:t xml:space="preserve"> se encuentran en zonas marginadas). Esto tiene un error de inclusión (tipo II) y de exclusión</w:t>
      </w: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>(</w:t>
      </w:r>
      <w:proofErr w:type="gramStart"/>
      <w:r>
        <w:rPr>
          <w:rFonts w:ascii="Perpetua" w:hAnsi="Perpetua" w:cs="Perpetua"/>
          <w:color w:val="000000"/>
          <w:sz w:val="22"/>
        </w:rPr>
        <w:t>tipo</w:t>
      </w:r>
      <w:proofErr w:type="gramEnd"/>
      <w:r>
        <w:rPr>
          <w:rFonts w:ascii="Perpetua" w:hAnsi="Perpetua" w:cs="Perpetua"/>
          <w:color w:val="000000"/>
          <w:sz w:val="22"/>
        </w:rPr>
        <w:t xml:space="preserve"> I) cuya magnitud es directamente proporcional a los casos desviados.</w:t>
      </w:r>
    </w:p>
    <w:p w:rsidR="006736ED" w:rsidRDefault="006736ED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>La tesis central sostiene que l</w:t>
      </w:r>
      <w:r w:rsidR="006736ED">
        <w:rPr>
          <w:rFonts w:ascii="Perpetua" w:hAnsi="Perpetua" w:cs="Perpetua"/>
          <w:color w:val="000000"/>
          <w:sz w:val="22"/>
        </w:rPr>
        <w:t xml:space="preserve">as escuelas hacen diferencia en </w:t>
      </w:r>
      <w:r>
        <w:rPr>
          <w:rFonts w:ascii="Perpetua" w:hAnsi="Perpetua" w:cs="Perpetua"/>
          <w:color w:val="000000"/>
          <w:sz w:val="22"/>
        </w:rPr>
        <w:t>los resultados de sus alumnos porque difieren entre sí en las caract</w:t>
      </w:r>
      <w:r w:rsidR="006736ED">
        <w:rPr>
          <w:rFonts w:ascii="Perpetua" w:hAnsi="Perpetua" w:cs="Perpetua"/>
          <w:color w:val="000000"/>
          <w:sz w:val="22"/>
        </w:rPr>
        <w:t xml:space="preserve">erísticas organizacionales y en </w:t>
      </w:r>
      <w:r>
        <w:rPr>
          <w:rFonts w:ascii="Perpetua" w:hAnsi="Perpetua" w:cs="Perpetua"/>
          <w:color w:val="000000"/>
          <w:sz w:val="22"/>
        </w:rPr>
        <w:t xml:space="preserve">los entornos normativos que generan para sus profesores y alumnos. </w:t>
      </w:r>
      <w:r w:rsidR="006736ED">
        <w:rPr>
          <w:rFonts w:ascii="Perpetua" w:hAnsi="Perpetua" w:cs="Perpetua"/>
          <w:color w:val="000000"/>
          <w:sz w:val="22"/>
        </w:rPr>
        <w:t xml:space="preserve">Una característica adicional de </w:t>
      </w:r>
      <w:r>
        <w:rPr>
          <w:rFonts w:ascii="Perpetua" w:hAnsi="Perpetua" w:cs="Perpetua"/>
          <w:color w:val="000000"/>
          <w:sz w:val="22"/>
        </w:rPr>
        <w:t xml:space="preserve">este grupo de explicaciones es que </w:t>
      </w:r>
      <w:r>
        <w:rPr>
          <w:rFonts w:ascii="Perpetua-Italic" w:hAnsi="Perpetua-Italic" w:cs="Perpetua-Italic"/>
          <w:i/>
          <w:iCs/>
          <w:color w:val="000000"/>
          <w:sz w:val="22"/>
        </w:rPr>
        <w:t xml:space="preserve">implícitamente </w:t>
      </w:r>
      <w:r>
        <w:rPr>
          <w:rFonts w:ascii="Perpetua" w:hAnsi="Perpetua" w:cs="Perpetua"/>
          <w:color w:val="000000"/>
          <w:sz w:val="22"/>
        </w:rPr>
        <w:t>supone que aquell</w:t>
      </w:r>
      <w:r w:rsidR="006736ED">
        <w:rPr>
          <w:rFonts w:ascii="Perpetua" w:hAnsi="Perpetua" w:cs="Perpetua"/>
          <w:color w:val="000000"/>
          <w:sz w:val="22"/>
        </w:rPr>
        <w:t xml:space="preserve">as propiedades organizacionales </w:t>
      </w:r>
      <w:r>
        <w:rPr>
          <w:rFonts w:ascii="Perpetua" w:hAnsi="Perpetua" w:cs="Perpetua"/>
          <w:color w:val="000000"/>
          <w:sz w:val="22"/>
        </w:rPr>
        <w:t>responsables de la eficacia en los aprendizajes, también operan di</w:t>
      </w:r>
      <w:r w:rsidR="006736ED">
        <w:rPr>
          <w:rFonts w:ascii="Perpetua" w:hAnsi="Perpetua" w:cs="Perpetua"/>
          <w:color w:val="000000"/>
          <w:sz w:val="22"/>
        </w:rPr>
        <w:t xml:space="preserve">sminuyendo la probabilidad a la </w:t>
      </w:r>
      <w:r>
        <w:rPr>
          <w:rFonts w:ascii="Perpetua" w:hAnsi="Perpetua" w:cs="Perpetua"/>
          <w:color w:val="000000"/>
          <w:sz w:val="22"/>
        </w:rPr>
        <w:t>desafiliación, un supuesto interesante a la vez que discutible (</w:t>
      </w:r>
      <w:proofErr w:type="spellStart"/>
      <w:r>
        <w:rPr>
          <w:rFonts w:ascii="Perpetua" w:hAnsi="Perpetua" w:cs="Perpetua"/>
          <w:color w:val="000000"/>
          <w:sz w:val="22"/>
        </w:rPr>
        <w:t>McPartland</w:t>
      </w:r>
      <w:proofErr w:type="spellEnd"/>
      <w:r>
        <w:rPr>
          <w:rFonts w:ascii="Perpetua" w:hAnsi="Perpetua" w:cs="Perpetua"/>
          <w:color w:val="000000"/>
          <w:sz w:val="22"/>
        </w:rPr>
        <w:t xml:space="preserve"> &amp; </w:t>
      </w:r>
      <w:proofErr w:type="spellStart"/>
      <w:r>
        <w:rPr>
          <w:rFonts w:ascii="Perpetua" w:hAnsi="Perpetua" w:cs="Perpetua"/>
          <w:color w:val="000000"/>
          <w:sz w:val="22"/>
        </w:rPr>
        <w:t>Jordan</w:t>
      </w:r>
      <w:proofErr w:type="spellEnd"/>
      <w:r>
        <w:rPr>
          <w:rFonts w:ascii="Perpetua" w:hAnsi="Perpetua" w:cs="Perpetua"/>
          <w:color w:val="000000"/>
          <w:sz w:val="22"/>
        </w:rPr>
        <w:t>, 2004: 272).</w:t>
      </w:r>
    </w:p>
    <w:p w:rsidR="009511B5" w:rsidRDefault="009511B5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>Varios son los mecanismos por los cuales estas propiedades orga</w:t>
      </w:r>
      <w:r w:rsidR="009511B5">
        <w:rPr>
          <w:rFonts w:ascii="Perpetua" w:hAnsi="Perpetua" w:cs="Perpetua"/>
          <w:color w:val="000000"/>
          <w:sz w:val="22"/>
        </w:rPr>
        <w:t xml:space="preserve">nizacionales influenciarían los </w:t>
      </w:r>
      <w:r>
        <w:rPr>
          <w:rFonts w:ascii="Perpetua" w:hAnsi="Perpetua" w:cs="Perpetua"/>
          <w:color w:val="000000"/>
          <w:sz w:val="22"/>
        </w:rPr>
        <w:t>comportamientos de los estudiantes. Los más relevantes tienen qu</w:t>
      </w:r>
      <w:r w:rsidR="009511B5">
        <w:rPr>
          <w:rFonts w:ascii="Perpetua" w:hAnsi="Perpetua" w:cs="Perpetua"/>
          <w:color w:val="000000"/>
          <w:sz w:val="22"/>
        </w:rPr>
        <w:t xml:space="preserve">e ver con la conformación de un </w:t>
      </w:r>
      <w:r>
        <w:rPr>
          <w:rFonts w:ascii="Perpetua" w:hAnsi="Perpetua" w:cs="Perpetua"/>
          <w:color w:val="000000"/>
          <w:sz w:val="22"/>
        </w:rPr>
        <w:t xml:space="preserve">clima organizacional estimulante, centrado en el aprendizaje, donde </w:t>
      </w:r>
      <w:r w:rsidR="009511B5">
        <w:rPr>
          <w:rFonts w:ascii="Perpetua" w:hAnsi="Perpetua" w:cs="Perpetua"/>
          <w:color w:val="000000"/>
          <w:sz w:val="22"/>
        </w:rPr>
        <w:t xml:space="preserve">las relaciones entre docentes y </w:t>
      </w:r>
      <w:r>
        <w:rPr>
          <w:rFonts w:ascii="Perpetua" w:hAnsi="Perpetua" w:cs="Perpetua"/>
          <w:color w:val="000000"/>
          <w:sz w:val="22"/>
        </w:rPr>
        <w:t xml:space="preserve">alumnos sean de una “escala humana” tal, que permita adaptar un </w:t>
      </w:r>
      <w:proofErr w:type="spellStart"/>
      <w:r>
        <w:rPr>
          <w:rFonts w:ascii="Perpetua" w:hAnsi="Perpetua" w:cs="Perpetua"/>
          <w:color w:val="000000"/>
          <w:sz w:val="22"/>
        </w:rPr>
        <w:t>curriculum</w:t>
      </w:r>
      <w:proofErr w:type="spellEnd"/>
      <w:r>
        <w:rPr>
          <w:rFonts w:ascii="Perpetua" w:hAnsi="Perpetua" w:cs="Perpetua"/>
          <w:color w:val="000000"/>
          <w:sz w:val="22"/>
        </w:rPr>
        <w:t xml:space="preserve"> exigente </w:t>
      </w:r>
      <w:r w:rsidR="009511B5">
        <w:rPr>
          <w:rFonts w:ascii="Perpetua" w:hAnsi="Perpetua" w:cs="Perpetua"/>
          <w:color w:val="000000"/>
          <w:sz w:val="22"/>
        </w:rPr>
        <w:t xml:space="preserve">a los tiempos </w:t>
      </w:r>
      <w:r>
        <w:rPr>
          <w:rFonts w:ascii="Perpetua" w:hAnsi="Perpetua" w:cs="Perpetua"/>
          <w:color w:val="000000"/>
          <w:sz w:val="22"/>
        </w:rPr>
        <w:t>y los contenidos a las necesidades e intereses de los jóvenes. Es la idea de las “pequeñas comunidades”</w:t>
      </w:r>
      <w:r w:rsidR="009511B5">
        <w:rPr>
          <w:rFonts w:ascii="Perpetua" w:hAnsi="Perpetua" w:cs="Perpetua"/>
          <w:color w:val="000000"/>
          <w:sz w:val="22"/>
        </w:rPr>
        <w:t xml:space="preserve"> </w:t>
      </w:r>
      <w:r>
        <w:rPr>
          <w:rFonts w:ascii="Perpetua" w:hAnsi="Perpetua" w:cs="Perpetua"/>
          <w:color w:val="000000"/>
          <w:sz w:val="22"/>
        </w:rPr>
        <w:t>escolares que se opone a las grandes escuelas anónimas, o a las escuelas tipo “shopping mall”.</w:t>
      </w:r>
    </w:p>
    <w:p w:rsidR="009511B5" w:rsidRDefault="009511B5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8B1E0F" w:rsidRDefault="00914011" w:rsidP="008B1E0F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>Los estudios revisados como antecedentes para este libro se co</w:t>
      </w:r>
      <w:r w:rsidR="009511B5">
        <w:rPr>
          <w:rFonts w:ascii="Perpetua" w:hAnsi="Perpetua" w:cs="Perpetua"/>
          <w:color w:val="000000"/>
          <w:sz w:val="22"/>
        </w:rPr>
        <w:t xml:space="preserve">ncentran en analizar el impacto </w:t>
      </w:r>
      <w:r>
        <w:rPr>
          <w:rFonts w:ascii="Perpetua" w:hAnsi="Perpetua" w:cs="Perpetua"/>
          <w:color w:val="000000"/>
          <w:sz w:val="22"/>
        </w:rPr>
        <w:t>de: i) la estructura de roles, incluyendo aquí la medida más rudimentaria que es el tamaño de la</w:t>
      </w:r>
      <w:r w:rsidR="009511B5">
        <w:rPr>
          <w:rFonts w:ascii="Perpetua" w:hAnsi="Perpetua" w:cs="Perpetua"/>
          <w:color w:val="000000"/>
          <w:sz w:val="22"/>
        </w:rPr>
        <w:t xml:space="preserve"> </w:t>
      </w:r>
      <w:r>
        <w:rPr>
          <w:rFonts w:ascii="Perpetua" w:hAnsi="Perpetua" w:cs="Perpetua"/>
          <w:color w:val="000000"/>
          <w:sz w:val="22"/>
        </w:rPr>
        <w:t>escuela; ii) el diseño de la gestión directiva (unipersonal, equipo dire</w:t>
      </w:r>
      <w:r w:rsidR="009511B5">
        <w:rPr>
          <w:rFonts w:ascii="Perpetua" w:hAnsi="Perpetua" w:cs="Perpetua"/>
          <w:color w:val="000000"/>
          <w:sz w:val="22"/>
        </w:rPr>
        <w:t xml:space="preserve">ctivo) y de su </w:t>
      </w:r>
      <w:r w:rsidR="009511B5">
        <w:rPr>
          <w:rFonts w:ascii="Perpetua" w:hAnsi="Perpetua" w:cs="Perpetua"/>
          <w:color w:val="000000"/>
          <w:sz w:val="22"/>
        </w:rPr>
        <w:lastRenderedPageBreak/>
        <w:t xml:space="preserve">desconcentración </w:t>
      </w:r>
      <w:r>
        <w:rPr>
          <w:rFonts w:ascii="Perpetua" w:hAnsi="Perpetua" w:cs="Perpetua"/>
          <w:color w:val="000000"/>
          <w:sz w:val="22"/>
        </w:rPr>
        <w:t>en roles intermedios; iii) el grado de integración social o c</w:t>
      </w:r>
      <w:r w:rsidR="009511B5">
        <w:rPr>
          <w:rFonts w:ascii="Perpetua" w:hAnsi="Perpetua" w:cs="Perpetua"/>
          <w:color w:val="000000"/>
          <w:sz w:val="22"/>
        </w:rPr>
        <w:t xml:space="preserve">lima organizacional que vincula </w:t>
      </w:r>
      <w:r>
        <w:rPr>
          <w:rFonts w:ascii="Perpetua" w:hAnsi="Perpetua" w:cs="Perpetua"/>
          <w:color w:val="000000"/>
          <w:sz w:val="22"/>
        </w:rPr>
        <w:t xml:space="preserve">a los miembros de la organización, en especial las relaciones de </w:t>
      </w:r>
      <w:r w:rsidR="008B1E0F">
        <w:rPr>
          <w:rFonts w:ascii="Perpetua" w:hAnsi="Perpetua" w:cs="Perpetua"/>
          <w:color w:val="000000"/>
          <w:sz w:val="22"/>
        </w:rPr>
        <w:t xml:space="preserve">cuidado y responsabilidad entre </w:t>
      </w:r>
      <w:r>
        <w:rPr>
          <w:rFonts w:ascii="Perpetua" w:hAnsi="Perpetua" w:cs="Perpetua"/>
          <w:color w:val="000000"/>
          <w:sz w:val="22"/>
        </w:rPr>
        <w:t xml:space="preserve">docentes y alumnos; y la estructura de incentivos dispuesta sobre el </w:t>
      </w:r>
      <w:r w:rsidR="008B1E0F">
        <w:rPr>
          <w:rFonts w:ascii="Perpetua" w:hAnsi="Perpetua" w:cs="Perpetua"/>
          <w:color w:val="000000"/>
          <w:sz w:val="22"/>
        </w:rPr>
        <w:t xml:space="preserve">buen o mal desempeño académico, </w:t>
      </w:r>
      <w:r>
        <w:rPr>
          <w:rFonts w:ascii="Perpetua" w:hAnsi="Perpetua" w:cs="Perpetua"/>
          <w:color w:val="000000"/>
          <w:sz w:val="22"/>
        </w:rPr>
        <w:t>tanto de alumnos como de profesores y escuelas</w:t>
      </w:r>
      <w:r w:rsidR="008B1E0F">
        <w:rPr>
          <w:rFonts w:ascii="Perpetua" w:hAnsi="Perpetua" w:cs="Perpetua"/>
          <w:color w:val="000000"/>
          <w:sz w:val="22"/>
        </w:rPr>
        <w:t>.</w:t>
      </w:r>
    </w:p>
    <w:p w:rsidR="008B1E0F" w:rsidRDefault="008B1E0F" w:rsidP="008B1E0F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>Sin embargo, a nivel de la Enseñanza Media e</w:t>
      </w:r>
      <w:r w:rsidR="008B1E0F">
        <w:rPr>
          <w:rFonts w:ascii="Perpetua" w:hAnsi="Perpetua" w:cs="Perpetua"/>
          <w:color w:val="000000"/>
          <w:sz w:val="22"/>
        </w:rPr>
        <w:t xml:space="preserve">n Uruguay no existe información </w:t>
      </w:r>
      <w:r>
        <w:rPr>
          <w:rFonts w:ascii="Perpetua" w:hAnsi="Perpetua" w:cs="Perpetua"/>
          <w:color w:val="000000"/>
          <w:sz w:val="22"/>
        </w:rPr>
        <w:t>estadística disponible sobre buena parte de las dimensiones anterio</w:t>
      </w:r>
      <w:r w:rsidR="008B1E0F">
        <w:rPr>
          <w:rFonts w:ascii="Perpetua" w:hAnsi="Perpetua" w:cs="Perpetua"/>
          <w:color w:val="000000"/>
          <w:sz w:val="22"/>
        </w:rPr>
        <w:t xml:space="preserve">res, por lo cual los análisis a </w:t>
      </w:r>
      <w:r>
        <w:rPr>
          <w:rFonts w:ascii="Perpetua" w:hAnsi="Perpetua" w:cs="Perpetua"/>
          <w:color w:val="000000"/>
          <w:sz w:val="22"/>
        </w:rPr>
        <w:t>practicar deberán tomarse como una primera y muy rudimentar</w:t>
      </w:r>
      <w:r w:rsidR="008B1E0F">
        <w:rPr>
          <w:rFonts w:ascii="Perpetua" w:hAnsi="Perpetua" w:cs="Perpetua"/>
          <w:color w:val="000000"/>
          <w:sz w:val="22"/>
        </w:rPr>
        <w:t xml:space="preserve">ia aproximación al contraste de </w:t>
      </w:r>
      <w:r>
        <w:rPr>
          <w:rFonts w:ascii="Perpetua" w:hAnsi="Perpetua" w:cs="Perpetua"/>
          <w:color w:val="000000"/>
          <w:sz w:val="22"/>
        </w:rPr>
        <w:t>estas teorías.</w:t>
      </w:r>
    </w:p>
    <w:p w:rsidR="008B1E0F" w:rsidRDefault="008B1E0F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914011" w:rsidRDefault="00914011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>Es de notar algunas limitaciones empíricas y lógicas relevantes d</w:t>
      </w:r>
      <w:r w:rsidR="008B1E0F">
        <w:rPr>
          <w:rFonts w:ascii="Perpetua" w:hAnsi="Perpetua" w:cs="Perpetua"/>
          <w:color w:val="000000"/>
          <w:sz w:val="22"/>
        </w:rPr>
        <w:t xml:space="preserve">e estos dos grupos de enfoques, </w:t>
      </w:r>
      <w:r>
        <w:rPr>
          <w:rFonts w:ascii="Perpetua" w:hAnsi="Perpetua" w:cs="Perpetua"/>
          <w:color w:val="000000"/>
          <w:sz w:val="22"/>
        </w:rPr>
        <w:t>que luego repercuten fuertemente en el momento de diseñar políticas de inclusión o intervenciones.</w:t>
      </w:r>
    </w:p>
    <w:p w:rsidR="008B1E0F" w:rsidRDefault="008B1E0F" w:rsidP="00914011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6377C7" w:rsidRDefault="00914011" w:rsidP="008B1E0F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  <w:r>
        <w:rPr>
          <w:rFonts w:ascii="Perpetua" w:hAnsi="Perpetua" w:cs="Perpetua"/>
          <w:color w:val="000000"/>
          <w:sz w:val="22"/>
        </w:rPr>
        <w:t xml:space="preserve">Las explicaciones de estos dos </w:t>
      </w:r>
      <w:r w:rsidR="008B1E0F">
        <w:rPr>
          <w:rFonts w:ascii="Perpetua" w:hAnsi="Perpetua" w:cs="Perpetua"/>
          <w:color w:val="000000"/>
          <w:sz w:val="22"/>
        </w:rPr>
        <w:t xml:space="preserve">tipos no permiten distinguir </w:t>
      </w:r>
      <w:proofErr w:type="spellStart"/>
      <w:r w:rsidR="008B1E0F">
        <w:rPr>
          <w:rFonts w:ascii="Perpetua" w:hAnsi="Perpetua" w:cs="Perpetua"/>
          <w:color w:val="000000"/>
          <w:sz w:val="22"/>
        </w:rPr>
        <w:t xml:space="preserve">el </w:t>
      </w:r>
      <w:r>
        <w:rPr>
          <w:rFonts w:ascii="Perpetua" w:hAnsi="Perpetua" w:cs="Perpetua"/>
          <w:color w:val="000000"/>
          <w:sz w:val="22"/>
        </w:rPr>
        <w:t>p</w:t>
      </w:r>
      <w:r w:rsidR="008B1E0F">
        <w:rPr>
          <w:rFonts w:ascii="Perpetua" w:hAnsi="Perpetua" w:cs="Perpetua"/>
          <w:color w:val="000000"/>
          <w:sz w:val="22"/>
        </w:rPr>
        <w:t>orque</w:t>
      </w:r>
      <w:proofErr w:type="spellEnd"/>
      <w:r w:rsidR="008B1E0F">
        <w:rPr>
          <w:rFonts w:ascii="Perpetua" w:hAnsi="Perpetua" w:cs="Perpetua"/>
          <w:color w:val="000000"/>
          <w:sz w:val="22"/>
        </w:rPr>
        <w:t xml:space="preserve"> dentro de un mismo centro </w:t>
      </w:r>
      <w:r>
        <w:rPr>
          <w:rFonts w:ascii="Perpetua" w:hAnsi="Perpetua" w:cs="Perpetua"/>
          <w:color w:val="000000"/>
          <w:sz w:val="22"/>
        </w:rPr>
        <w:t>algunos estudiantes se desafilian y otros no dado que todos co</w:t>
      </w:r>
      <w:r w:rsidR="008B1E0F">
        <w:rPr>
          <w:rFonts w:ascii="Perpetua" w:hAnsi="Perpetua" w:cs="Perpetua"/>
          <w:color w:val="000000"/>
          <w:sz w:val="22"/>
        </w:rPr>
        <w:t xml:space="preserve">mparten el mismo entorno social </w:t>
      </w:r>
      <w:r>
        <w:rPr>
          <w:rFonts w:ascii="Perpetua" w:hAnsi="Perpetua" w:cs="Perpetua"/>
          <w:color w:val="000000"/>
          <w:sz w:val="22"/>
        </w:rPr>
        <w:t>y material de marginación o las mismas características de la organi</w:t>
      </w:r>
      <w:r w:rsidR="008B1E0F">
        <w:rPr>
          <w:rFonts w:ascii="Perpetua" w:hAnsi="Perpetua" w:cs="Perpetua"/>
          <w:color w:val="000000"/>
          <w:sz w:val="22"/>
        </w:rPr>
        <w:t xml:space="preserve">zación escolar; tampoco permite </w:t>
      </w:r>
      <w:r>
        <w:rPr>
          <w:rFonts w:ascii="Perpetua" w:hAnsi="Perpetua" w:cs="Perpetua"/>
          <w:color w:val="000000"/>
          <w:sz w:val="22"/>
        </w:rPr>
        <w:t>formular intervenciones específicas y personalizadas. Su papel tanto e</w:t>
      </w:r>
      <w:r w:rsidR="008B1E0F">
        <w:rPr>
          <w:rFonts w:ascii="Perpetua" w:hAnsi="Perpetua" w:cs="Perpetua"/>
          <w:color w:val="000000"/>
          <w:sz w:val="22"/>
        </w:rPr>
        <w:t xml:space="preserve">n la teoría como en la política </w:t>
      </w:r>
      <w:r>
        <w:rPr>
          <w:rFonts w:ascii="Perpetua" w:hAnsi="Perpetua" w:cs="Perpetua"/>
          <w:color w:val="000000"/>
          <w:sz w:val="22"/>
        </w:rPr>
        <w:t>social consiste en mostrar cuánto inciden los niveles agregados, en pa</w:t>
      </w:r>
      <w:r w:rsidR="008B1E0F">
        <w:rPr>
          <w:rFonts w:ascii="Perpetua" w:hAnsi="Perpetua" w:cs="Perpetua"/>
          <w:color w:val="000000"/>
          <w:sz w:val="22"/>
        </w:rPr>
        <w:t xml:space="preserve">rticular, en las escuelas y las </w:t>
      </w:r>
      <w:r>
        <w:rPr>
          <w:rFonts w:ascii="Perpetua" w:hAnsi="Perpetua" w:cs="Perpetua"/>
          <w:color w:val="000000"/>
          <w:sz w:val="22"/>
        </w:rPr>
        <w:t>localidades para explicar este fenómeno.</w:t>
      </w:r>
    </w:p>
    <w:p w:rsidR="006E585A" w:rsidRDefault="006E585A" w:rsidP="008B1E0F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p w:rsidR="006E585A" w:rsidRDefault="006E585A" w:rsidP="008B1E0F">
      <w:pPr>
        <w:autoSpaceDE w:val="0"/>
        <w:autoSpaceDN w:val="0"/>
        <w:adjustRightInd w:val="0"/>
        <w:spacing w:after="0" w:line="240" w:lineRule="auto"/>
        <w:jc w:val="left"/>
        <w:rPr>
          <w:rFonts w:ascii="MyriadPro-Cond" w:hAnsi="MyriadPro-Cond" w:cs="MyriadPro-Cond"/>
          <w:sz w:val="30"/>
          <w:szCs w:val="30"/>
        </w:rPr>
      </w:pPr>
      <w:r>
        <w:rPr>
          <w:rFonts w:ascii="MyriadPro-Cond" w:hAnsi="MyriadPro-Cond" w:cs="MyriadPro-Cond"/>
          <w:sz w:val="30"/>
          <w:szCs w:val="30"/>
        </w:rPr>
        <w:t xml:space="preserve">Explicaciones </w:t>
      </w:r>
      <w:proofErr w:type="spellStart"/>
      <w:r>
        <w:rPr>
          <w:rFonts w:ascii="MyriadPro-Cond" w:hAnsi="MyriadPro-Cond" w:cs="MyriadPro-Cond"/>
          <w:sz w:val="30"/>
          <w:szCs w:val="30"/>
        </w:rPr>
        <w:t>macroestructuralistas</w:t>
      </w:r>
      <w:proofErr w:type="spellEnd"/>
    </w:p>
    <w:p w:rsidR="006E585A" w:rsidRDefault="006E585A" w:rsidP="008B1E0F">
      <w:pPr>
        <w:autoSpaceDE w:val="0"/>
        <w:autoSpaceDN w:val="0"/>
        <w:adjustRightInd w:val="0"/>
        <w:spacing w:after="0" w:line="240" w:lineRule="auto"/>
        <w:jc w:val="left"/>
        <w:rPr>
          <w:rFonts w:ascii="MyriadPro-Cond" w:hAnsi="MyriadPro-Cond" w:cs="MyriadPro-Cond"/>
          <w:sz w:val="30"/>
          <w:szCs w:val="30"/>
        </w:rPr>
      </w:pP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La parte de la explicación que resulta más sustantiva tendría relación con atributos de la</w:t>
      </w:r>
      <w:r w:rsidR="00894D11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sociedad nacional, tales como su economía, su estado, sus instituciones o su historia.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 xml:space="preserve">Cualquiera de estas propiedades tiene una naturaleza </w:t>
      </w:r>
      <w:r>
        <w:rPr>
          <w:rFonts w:ascii="Perpetua-Italic" w:hAnsi="Perpetua-Italic" w:cs="Perpetua-Italic"/>
          <w:i/>
          <w:iCs/>
          <w:sz w:val="22"/>
        </w:rPr>
        <w:t>sistémica</w:t>
      </w:r>
      <w:r>
        <w:rPr>
          <w:rFonts w:ascii="Perpetua" w:hAnsi="Perpetua" w:cs="Perpetua"/>
          <w:sz w:val="22"/>
        </w:rPr>
        <w:t>: no es el resultado de intenciones</w:t>
      </w:r>
      <w:r w:rsidR="00894D11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ni puede ser modificada al menos en el corto plazo mediante intencionalidades (individuales o</w:t>
      </w:r>
      <w:r w:rsidR="00894D11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>colectivas) tales como las políticas</w:t>
      </w:r>
      <w:r>
        <w:rPr>
          <w:rFonts w:ascii="Perpetua" w:hAnsi="Perpetua" w:cs="Perpetua"/>
          <w:sz w:val="13"/>
          <w:szCs w:val="13"/>
        </w:rPr>
        <w:t>24</w:t>
      </w:r>
      <w:r>
        <w:rPr>
          <w:rFonts w:ascii="Perpetua" w:hAnsi="Perpetua" w:cs="Perpetua"/>
          <w:sz w:val="22"/>
        </w:rPr>
        <w:t>. Esto último distingue las explicaciones macrosociales estructurales</w:t>
      </w:r>
      <w:r w:rsidR="00894D11">
        <w:rPr>
          <w:rFonts w:ascii="Perpetua" w:hAnsi="Perpetua" w:cs="Perpetua"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con las </w:t>
      </w:r>
      <w:proofErr w:type="spellStart"/>
      <w:r>
        <w:rPr>
          <w:rFonts w:ascii="Perpetua" w:hAnsi="Perpetua" w:cs="Perpetua"/>
          <w:sz w:val="22"/>
        </w:rPr>
        <w:t>agenciales</w:t>
      </w:r>
      <w:proofErr w:type="spellEnd"/>
      <w:r>
        <w:rPr>
          <w:rFonts w:ascii="Perpetua" w:hAnsi="Perpetua" w:cs="Perpetua"/>
          <w:sz w:val="22"/>
        </w:rPr>
        <w:t>.</w:t>
      </w:r>
    </w:p>
    <w:p w:rsidR="00894D11" w:rsidRDefault="00894D11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 xml:space="preserve">Los estudios de educación comparada en América Latina, tales como el de </w:t>
      </w:r>
      <w:proofErr w:type="spellStart"/>
      <w:r>
        <w:rPr>
          <w:rFonts w:ascii="Perpetua-SC700" w:hAnsi="Perpetua-SC700" w:cs="Perpetua-SC700"/>
          <w:sz w:val="15"/>
          <w:szCs w:val="15"/>
        </w:rPr>
        <w:t>siteal</w:t>
      </w:r>
      <w:proofErr w:type="spellEnd"/>
      <w:r>
        <w:rPr>
          <w:rFonts w:ascii="Perpetua-SC700" w:hAnsi="Perpetua-SC700" w:cs="Perpetua-SC700"/>
          <w:sz w:val="15"/>
          <w:szCs w:val="15"/>
        </w:rPr>
        <w:t xml:space="preserve"> </w:t>
      </w:r>
      <w:r>
        <w:rPr>
          <w:rFonts w:ascii="Perpetua" w:hAnsi="Perpetua" w:cs="Perpetua"/>
          <w:sz w:val="22"/>
        </w:rPr>
        <w:t>(2009) antes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citado</w:t>
      </w:r>
      <w:proofErr w:type="gramEnd"/>
      <w:r>
        <w:rPr>
          <w:rFonts w:ascii="Perpetua" w:hAnsi="Perpetua" w:cs="Perpetua"/>
          <w:sz w:val="22"/>
        </w:rPr>
        <w:t>, constituyen el campo típico para el desarrollo de estas teorías. Una línea de análisis señala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que</w:t>
      </w:r>
      <w:proofErr w:type="gramEnd"/>
      <w:r>
        <w:rPr>
          <w:rFonts w:ascii="Perpetua" w:hAnsi="Perpetua" w:cs="Perpetua"/>
          <w:sz w:val="22"/>
        </w:rPr>
        <w:t xml:space="preserve"> la desafiliación tiene una relación inversa con el nivel de bienestar que, en promedio, cada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país</w:t>
      </w:r>
      <w:proofErr w:type="gramEnd"/>
      <w:r>
        <w:rPr>
          <w:rFonts w:ascii="Perpetua" w:hAnsi="Perpetua" w:cs="Perpetua"/>
          <w:sz w:val="22"/>
        </w:rPr>
        <w:t xml:space="preserve"> garantiza a sus habitantes. Algunas versiones más sofisticadas van más allá de la evaluación del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Producto Interno Bruto (</w:t>
      </w:r>
      <w:proofErr w:type="spellStart"/>
      <w:r>
        <w:rPr>
          <w:rFonts w:ascii="Perpetua-SC700" w:hAnsi="Perpetua-SC700" w:cs="Perpetua-SC700"/>
          <w:sz w:val="15"/>
          <w:szCs w:val="15"/>
        </w:rPr>
        <w:t>pib</w:t>
      </w:r>
      <w:proofErr w:type="spellEnd"/>
      <w:r>
        <w:rPr>
          <w:rFonts w:ascii="Perpetua-SC700" w:hAnsi="Perpetua-SC700" w:cs="Perpetua-SC700"/>
          <w:sz w:val="22"/>
        </w:rPr>
        <w:t xml:space="preserve">), </w:t>
      </w:r>
      <w:r>
        <w:rPr>
          <w:rFonts w:ascii="Perpetua" w:hAnsi="Perpetua" w:cs="Perpetua"/>
          <w:sz w:val="22"/>
        </w:rPr>
        <w:t>e insisten en la desigualdad generada por la matriz distributiva de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protección</w:t>
      </w:r>
      <w:proofErr w:type="gramEnd"/>
      <w:r>
        <w:rPr>
          <w:rFonts w:ascii="Perpetua" w:hAnsi="Perpetua" w:cs="Perpetua"/>
          <w:sz w:val="22"/>
        </w:rPr>
        <w:t xml:space="preserve"> social, incluyendo aquí la regulación del mercado de empleo. Por esta vía, la versión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sofisticada</w:t>
      </w:r>
      <w:proofErr w:type="gramEnd"/>
      <w:r>
        <w:rPr>
          <w:rFonts w:ascii="Perpetua" w:hAnsi="Perpetua" w:cs="Perpetua"/>
          <w:sz w:val="22"/>
        </w:rPr>
        <w:t xml:space="preserve"> permite conectar los indicadores educacionales con la noción más general de modelo de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desarrollo</w:t>
      </w:r>
      <w:proofErr w:type="gramEnd"/>
      <w:r>
        <w:rPr>
          <w:rFonts w:ascii="Perpetua" w:hAnsi="Perpetua" w:cs="Perpetua"/>
          <w:sz w:val="22"/>
        </w:rPr>
        <w:t>.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MyriadPro-Cond" w:hAnsi="MyriadPro-Cond" w:cs="MyriadPro-Cond"/>
          <w:sz w:val="30"/>
          <w:szCs w:val="30"/>
        </w:rPr>
      </w:pPr>
      <w:r>
        <w:rPr>
          <w:rFonts w:ascii="MyriadPro-Cond" w:hAnsi="MyriadPro-Cond" w:cs="MyriadPro-Cond"/>
          <w:sz w:val="30"/>
          <w:szCs w:val="30"/>
        </w:rPr>
        <w:t xml:space="preserve">Explicaciones </w:t>
      </w:r>
      <w:proofErr w:type="spellStart"/>
      <w:r>
        <w:rPr>
          <w:rFonts w:ascii="MyriadPro-Cond" w:hAnsi="MyriadPro-Cond" w:cs="MyriadPro-Cond"/>
          <w:sz w:val="30"/>
          <w:szCs w:val="30"/>
        </w:rPr>
        <w:t>microaccionalistas</w:t>
      </w:r>
      <w:proofErr w:type="spellEnd"/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 xml:space="preserve">En la segunda columna del cuadro1, dedicada a los enfoques </w:t>
      </w:r>
      <w:proofErr w:type="spellStart"/>
      <w:r>
        <w:rPr>
          <w:rFonts w:ascii="Perpetua" w:hAnsi="Perpetua" w:cs="Perpetua"/>
          <w:sz w:val="22"/>
        </w:rPr>
        <w:t>accionalistas</w:t>
      </w:r>
      <w:proofErr w:type="spellEnd"/>
      <w:r>
        <w:rPr>
          <w:rFonts w:ascii="Perpetua" w:hAnsi="Perpetua" w:cs="Perpetua"/>
          <w:sz w:val="22"/>
        </w:rPr>
        <w:t>, se destacan aquellos que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propone</w:t>
      </w:r>
      <w:proofErr w:type="gramEnd"/>
      <w:r>
        <w:rPr>
          <w:rFonts w:ascii="Perpetua" w:hAnsi="Perpetua" w:cs="Perpetua"/>
          <w:sz w:val="22"/>
        </w:rPr>
        <w:t xml:space="preserve"> una explicación que pondera la racionalidad (reflexividad y sentido) que los adolescentes y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jóvenes</w:t>
      </w:r>
      <w:proofErr w:type="gramEnd"/>
      <w:r>
        <w:rPr>
          <w:rFonts w:ascii="Perpetua" w:hAnsi="Perpetua" w:cs="Perpetua"/>
          <w:sz w:val="22"/>
        </w:rPr>
        <w:t xml:space="preserve"> </w:t>
      </w:r>
      <w:r>
        <w:rPr>
          <w:rFonts w:ascii="Perpetua-Italic" w:hAnsi="Perpetua-Italic" w:cs="Perpetua-Italic"/>
          <w:i/>
          <w:iCs/>
          <w:sz w:val="22"/>
        </w:rPr>
        <w:t xml:space="preserve">individualmente </w:t>
      </w:r>
      <w:r>
        <w:rPr>
          <w:rFonts w:ascii="Perpetua" w:hAnsi="Perpetua" w:cs="Perpetua"/>
          <w:sz w:val="22"/>
        </w:rPr>
        <w:t>ponen en sus acciones y decisiones, las de sus familias y en la influencia de los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grupos</w:t>
      </w:r>
      <w:proofErr w:type="gramEnd"/>
      <w:r>
        <w:rPr>
          <w:rFonts w:ascii="Perpetua" w:hAnsi="Perpetua" w:cs="Perpetua"/>
          <w:sz w:val="22"/>
        </w:rPr>
        <w:t xml:space="preserve"> de pares. Pueden identificarse aquí también dos grandes enfoques polares, según el énfasis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que</w:t>
      </w:r>
      <w:proofErr w:type="gramEnd"/>
      <w:r>
        <w:rPr>
          <w:rFonts w:ascii="Perpetua" w:hAnsi="Perpetua" w:cs="Perpetua"/>
          <w:sz w:val="22"/>
        </w:rPr>
        <w:t xml:space="preserve"> pongan en el tipo de racionalidad: instrumental (cálculo) o identidad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B41C12" w:rsidRDefault="00B41C12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MyriadPro-CondIt" w:hAnsi="MyriadPro-CondIt" w:cs="MyriadPro-CondIt"/>
          <w:i/>
          <w:iCs/>
          <w:szCs w:val="24"/>
        </w:rPr>
        <w:lastRenderedPageBreak/>
        <w:t>Teorías de la elección racional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Un primer enfoque, tiene como fundamento más general a una teoría de la elección racional, donde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los</w:t>
      </w:r>
      <w:proofErr w:type="gramEnd"/>
      <w:r>
        <w:rPr>
          <w:rFonts w:ascii="Perpetua" w:hAnsi="Perpetua" w:cs="Perpetua"/>
          <w:sz w:val="22"/>
        </w:rPr>
        <w:t xml:space="preserve"> jóvenes evalúan, comparan, razonan y toman una decisión. Tres son los supuestos que conviene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explicitar</w:t>
      </w:r>
      <w:proofErr w:type="gramEnd"/>
      <w:r>
        <w:rPr>
          <w:rFonts w:ascii="Perpetua" w:hAnsi="Perpetua" w:cs="Perpetua"/>
          <w:sz w:val="22"/>
        </w:rPr>
        <w:t xml:space="preserve"> sobre esta elección. En primer lugar, se supone que todos los estudiantes evalúan, por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ejemplo</w:t>
      </w:r>
      <w:proofErr w:type="gramEnd"/>
      <w:r>
        <w:rPr>
          <w:rFonts w:ascii="Perpetua" w:hAnsi="Perpetua" w:cs="Perpetua"/>
          <w:sz w:val="22"/>
        </w:rPr>
        <w:t xml:space="preserve"> al inicio de cada año, su permanencia en la escuela y las consecuencias (beneficios y costos)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que</w:t>
      </w:r>
      <w:proofErr w:type="gramEnd"/>
      <w:r>
        <w:rPr>
          <w:rFonts w:ascii="Perpetua" w:hAnsi="Perpetua" w:cs="Perpetua"/>
          <w:sz w:val="22"/>
        </w:rPr>
        <w:t xml:space="preserve"> para sus vidas puede tener otro año adicional de educación. En segundo lugar, la teoría supone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que</w:t>
      </w:r>
      <w:proofErr w:type="gramEnd"/>
      <w:r>
        <w:rPr>
          <w:rFonts w:ascii="Perpetua" w:hAnsi="Perpetua" w:cs="Perpetua"/>
          <w:sz w:val="22"/>
        </w:rPr>
        <w:t xml:space="preserve"> la decisión devela un umbral en la utilidad del individuo, y que por lo tanto, todo individuo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llegará</w:t>
      </w:r>
      <w:proofErr w:type="gramEnd"/>
      <w:r>
        <w:rPr>
          <w:rFonts w:ascii="Perpetua" w:hAnsi="Perpetua" w:cs="Perpetua"/>
          <w:sz w:val="22"/>
        </w:rPr>
        <w:t xml:space="preserve"> a acumular educación hasta alcanzar un nivel óptimo (privado). En tercer lugar, todas las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teorías</w:t>
      </w:r>
      <w:proofErr w:type="gramEnd"/>
      <w:r>
        <w:rPr>
          <w:rFonts w:ascii="Perpetua" w:hAnsi="Perpetua" w:cs="Perpetua"/>
          <w:sz w:val="22"/>
        </w:rPr>
        <w:t xml:space="preserve"> contemplan que en las decisiones influyen expectativas sobre el futuro (tasas de retorno de la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educación</w:t>
      </w:r>
      <w:proofErr w:type="gramEnd"/>
      <w:r>
        <w:rPr>
          <w:rFonts w:ascii="Perpetua" w:hAnsi="Perpetua" w:cs="Perpetua"/>
          <w:sz w:val="22"/>
        </w:rPr>
        <w:t>), las imperfecciones que puedan tener los mercados de crédito y la veracidad de la información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que</w:t>
      </w:r>
      <w:proofErr w:type="gramEnd"/>
      <w:r>
        <w:rPr>
          <w:rFonts w:ascii="Perpetua" w:hAnsi="Perpetua" w:cs="Perpetua"/>
          <w:sz w:val="22"/>
        </w:rPr>
        <w:t xml:space="preserve"> disponen los agentes. Sobre esta base, se derivan dos consecuencias directas: a) todos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los</w:t>
      </w:r>
      <w:proofErr w:type="gramEnd"/>
      <w:r>
        <w:rPr>
          <w:rFonts w:ascii="Perpetua" w:hAnsi="Perpetua" w:cs="Perpetua"/>
          <w:sz w:val="22"/>
        </w:rPr>
        <w:t xml:space="preserve"> individuos tiene una propensión a la desafiliación educativa, pero sólo en algunos se manifiesta;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b) la desafiliación observada informa que el óptimo privado está por debajo del óptimo social en la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acumulación</w:t>
      </w:r>
      <w:proofErr w:type="gramEnd"/>
      <w:r>
        <w:rPr>
          <w:rFonts w:ascii="Perpetua" w:hAnsi="Perpetua" w:cs="Perpetua"/>
          <w:sz w:val="22"/>
        </w:rPr>
        <w:t xml:space="preserve"> educativa. Dado que la desafiliación no está aleatoriamente distribuida en la sociedad,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el</w:t>
      </w:r>
      <w:proofErr w:type="gramEnd"/>
      <w:r>
        <w:rPr>
          <w:rFonts w:ascii="Perpetua" w:hAnsi="Perpetua" w:cs="Perpetua"/>
          <w:sz w:val="22"/>
        </w:rPr>
        <w:t xml:space="preserve"> trabajo de la teoría consiste en explicar qué mecanismos conllevan a truncamientos diferenciales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</w:t>
      </w:r>
      <w:proofErr w:type="gramEnd"/>
      <w:r>
        <w:rPr>
          <w:rFonts w:ascii="Perpetua" w:hAnsi="Perpetua" w:cs="Perpetua"/>
          <w:sz w:val="22"/>
        </w:rPr>
        <w:t xml:space="preserve"> la trayectoria académica, en particular en los jóvenes pobres. Tenemos aquí dos versiones: una</w:t>
      </w:r>
    </w:p>
    <w:p w:rsidR="006E585A" w:rsidRDefault="006E585A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económica</w:t>
      </w:r>
      <w:proofErr w:type="gramEnd"/>
      <w:r>
        <w:rPr>
          <w:rFonts w:ascii="Perpetua" w:hAnsi="Perpetua" w:cs="Perpetua"/>
          <w:sz w:val="22"/>
        </w:rPr>
        <w:t xml:space="preserve"> y otra sociológica.</w:t>
      </w:r>
    </w:p>
    <w:p w:rsidR="00B41C12" w:rsidRDefault="00B41C12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B41C12" w:rsidRDefault="00B41C12" w:rsidP="006E585A">
      <w:pPr>
        <w:autoSpaceDE w:val="0"/>
        <w:autoSpaceDN w:val="0"/>
        <w:adjustRightInd w:val="0"/>
        <w:spacing w:after="0" w:line="240" w:lineRule="auto"/>
        <w:jc w:val="left"/>
        <w:rPr>
          <w:rFonts w:ascii="MyriadPro-CondIt" w:hAnsi="MyriadPro-CondIt" w:cs="MyriadPro-CondIt"/>
          <w:i/>
          <w:iCs/>
          <w:szCs w:val="24"/>
        </w:rPr>
      </w:pPr>
      <w:r>
        <w:rPr>
          <w:rFonts w:ascii="MyriadPro-CondIt" w:hAnsi="MyriadPro-CondIt" w:cs="MyriadPro-CondIt"/>
          <w:i/>
          <w:iCs/>
          <w:szCs w:val="24"/>
        </w:rPr>
        <w:t xml:space="preserve">Decisiones </w:t>
      </w:r>
      <w:proofErr w:type="spellStart"/>
      <w:r>
        <w:rPr>
          <w:rFonts w:ascii="MyriadPro-CondIt" w:hAnsi="MyriadPro-CondIt" w:cs="MyriadPro-CondIt"/>
          <w:i/>
          <w:iCs/>
          <w:szCs w:val="24"/>
        </w:rPr>
        <w:t>identitarias</w:t>
      </w:r>
      <w:proofErr w:type="spellEnd"/>
      <w:r>
        <w:rPr>
          <w:rFonts w:ascii="MyriadPro-CondIt" w:hAnsi="MyriadPro-CondIt" w:cs="MyriadPro-CondIt"/>
          <w:i/>
          <w:iCs/>
          <w:szCs w:val="24"/>
        </w:rPr>
        <w:t xml:space="preserve"> y las conductas desviadas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Un segundo gran enfoque reúne una diversidad de teorías explicativas sustentadas en aportes y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perspectivas</w:t>
      </w:r>
      <w:proofErr w:type="gramEnd"/>
      <w:r>
        <w:rPr>
          <w:rFonts w:ascii="Perpetua" w:hAnsi="Perpetua" w:cs="Perpetua"/>
          <w:sz w:val="22"/>
        </w:rPr>
        <w:t xml:space="preserve"> de la demografía, la psicología, la psicología social, la antropología la sociología, y también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</w:t>
      </w:r>
      <w:proofErr w:type="gramEnd"/>
      <w:r>
        <w:rPr>
          <w:rFonts w:ascii="Perpetua" w:hAnsi="Perpetua" w:cs="Perpetua"/>
          <w:sz w:val="22"/>
        </w:rPr>
        <w:t xml:space="preserve"> la criminología. A pesar de las diferencias que existen entre ellas, coinciden en explicar las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decisiones</w:t>
      </w:r>
      <w:proofErr w:type="gramEnd"/>
      <w:r>
        <w:rPr>
          <w:rFonts w:ascii="Perpetua" w:hAnsi="Perpetua" w:cs="Perpetua"/>
          <w:sz w:val="22"/>
        </w:rPr>
        <w:t xml:space="preserve"> de abandonar la escuela en base a la </w:t>
      </w:r>
      <w:r>
        <w:rPr>
          <w:rFonts w:ascii="Perpetua-Italic" w:hAnsi="Perpetua-Italic" w:cs="Perpetua-Italic"/>
          <w:i/>
          <w:iCs/>
          <w:sz w:val="22"/>
        </w:rPr>
        <w:t xml:space="preserve">trayectoria vivida </w:t>
      </w:r>
      <w:r>
        <w:rPr>
          <w:rFonts w:ascii="Perpetua" w:hAnsi="Perpetua" w:cs="Perpetua"/>
          <w:sz w:val="22"/>
        </w:rPr>
        <w:t>por los jóvenes desde que ingresaron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a</w:t>
      </w:r>
      <w:proofErr w:type="gramEnd"/>
      <w:r>
        <w:rPr>
          <w:rFonts w:ascii="Perpetua" w:hAnsi="Perpetua" w:cs="Perpetua"/>
          <w:sz w:val="22"/>
        </w:rPr>
        <w:t xml:space="preserve"> la educación formal por primera vez. Sostienen que en estas trayectorias pueden identificarse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regularmente</w:t>
      </w:r>
      <w:proofErr w:type="gramEnd"/>
      <w:r>
        <w:rPr>
          <w:rFonts w:ascii="Perpetua" w:hAnsi="Perpetua" w:cs="Perpetua"/>
          <w:sz w:val="22"/>
        </w:rPr>
        <w:t xml:space="preserve"> eventos críticos, disruptivos o traumáticos que contribuyen a formar una disposición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negativa</w:t>
      </w:r>
      <w:proofErr w:type="gramEnd"/>
      <w:r>
        <w:rPr>
          <w:rFonts w:ascii="Perpetua" w:hAnsi="Perpetua" w:cs="Perpetua"/>
          <w:sz w:val="22"/>
        </w:rPr>
        <w:t xml:space="preserve"> hacia la escuela, sus normas y sus actores. Destacamos aquí dos enfoques: los cursos de vida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y</w:t>
      </w:r>
      <w:proofErr w:type="gramEnd"/>
      <w:r>
        <w:rPr>
          <w:rFonts w:ascii="Perpetua" w:hAnsi="Perpetua" w:cs="Perpetua"/>
          <w:sz w:val="22"/>
        </w:rPr>
        <w:t xml:space="preserve"> los enfoques sobre conductas desviadas.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Dentro de los enfoques de curso de vida, los más extendidos enfatizan los procesos de socialización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y</w:t>
      </w:r>
      <w:proofErr w:type="gramEnd"/>
      <w:r>
        <w:rPr>
          <w:rFonts w:ascii="Perpetua" w:hAnsi="Perpetua" w:cs="Perpetua"/>
          <w:sz w:val="22"/>
        </w:rPr>
        <w:t xml:space="preserve"> desarrollo de la identidad. Por lo general se interesan en identificar la incidencia que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tendrían</w:t>
      </w:r>
      <w:proofErr w:type="gramEnd"/>
      <w:r>
        <w:rPr>
          <w:rFonts w:ascii="Perpetua" w:hAnsi="Perpetua" w:cs="Perpetua"/>
          <w:sz w:val="22"/>
        </w:rPr>
        <w:t xml:space="preserve"> al menos tres grandes grupos de eventos: i) los cambios familiares (divorcios, nuevas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parejas</w:t>
      </w:r>
      <w:proofErr w:type="gramEnd"/>
      <w:r>
        <w:rPr>
          <w:rFonts w:ascii="Perpetua" w:hAnsi="Perpetua" w:cs="Perpetua"/>
          <w:sz w:val="22"/>
        </w:rPr>
        <w:t>, nuevos hermanos); ii) eventos disruptivos en la transición de la socialización familiar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a</w:t>
      </w:r>
      <w:proofErr w:type="gramEnd"/>
      <w:r>
        <w:rPr>
          <w:rFonts w:ascii="Perpetua" w:hAnsi="Perpetua" w:cs="Perpetua"/>
          <w:sz w:val="22"/>
        </w:rPr>
        <w:t xml:space="preserve"> la socialización escolar (inscripción tardía, cambios de jardín de infantes o de escuela en los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primeros</w:t>
      </w:r>
      <w:proofErr w:type="gramEnd"/>
      <w:r>
        <w:rPr>
          <w:rFonts w:ascii="Perpetua" w:hAnsi="Perpetua" w:cs="Perpetua"/>
          <w:sz w:val="22"/>
        </w:rPr>
        <w:t xml:space="preserve"> años, cambios en los arreglos domésticos para cuidar a los niños, mudanzas, etc.); y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iii) las experiencias escolares negativas como ser la repetición, separación del grupo de amigos,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sanciones</w:t>
      </w:r>
      <w:proofErr w:type="gramEnd"/>
      <w:r>
        <w:rPr>
          <w:rFonts w:ascii="Perpetua" w:hAnsi="Perpetua" w:cs="Perpetua"/>
          <w:sz w:val="22"/>
        </w:rPr>
        <w:t xml:space="preserve"> reiteradas, etc. Estos eventos alimentarían el desarrollo de una identidad social deteriorada,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parafraseando</w:t>
      </w:r>
      <w:proofErr w:type="gramEnd"/>
      <w:r>
        <w:rPr>
          <w:rFonts w:ascii="Perpetua" w:hAnsi="Perpetua" w:cs="Perpetua"/>
          <w:sz w:val="22"/>
        </w:rPr>
        <w:t xml:space="preserve"> a </w:t>
      </w:r>
      <w:proofErr w:type="spellStart"/>
      <w:r>
        <w:rPr>
          <w:rFonts w:ascii="Perpetua" w:hAnsi="Perpetua" w:cs="Perpetua"/>
          <w:sz w:val="22"/>
        </w:rPr>
        <w:t>Erving</w:t>
      </w:r>
      <w:proofErr w:type="spellEnd"/>
      <w:r>
        <w:rPr>
          <w:rFonts w:ascii="Perpetua" w:hAnsi="Perpetua" w:cs="Perpetua"/>
          <w:sz w:val="22"/>
        </w:rPr>
        <w:t xml:space="preserve"> </w:t>
      </w:r>
      <w:proofErr w:type="spellStart"/>
      <w:r>
        <w:rPr>
          <w:rFonts w:ascii="Perpetua" w:hAnsi="Perpetua" w:cs="Perpetua"/>
          <w:sz w:val="22"/>
        </w:rPr>
        <w:t>Gofman</w:t>
      </w:r>
      <w:proofErr w:type="spellEnd"/>
      <w:r>
        <w:rPr>
          <w:rFonts w:ascii="Perpetua" w:hAnsi="Perpetua" w:cs="Perpetua"/>
          <w:sz w:val="22"/>
        </w:rPr>
        <w:t>, con una baja autoestima y una baja evaluación de la propia eficacia para aprender; cuestiones que a su vez obstaculizarían el desarrollo de las competencias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lastRenderedPageBreak/>
        <w:t>metacognitivas</w:t>
      </w:r>
      <w:proofErr w:type="gramEnd"/>
      <w:r>
        <w:rPr>
          <w:rFonts w:ascii="Perpetua" w:hAnsi="Perpetua" w:cs="Perpetua"/>
          <w:sz w:val="22"/>
        </w:rPr>
        <w:t xml:space="preserve"> que se requieren para dominar los múltiples lenguajes disciplinarios que caracterizan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el</w:t>
      </w:r>
      <w:proofErr w:type="gramEnd"/>
      <w:r>
        <w:rPr>
          <w:rFonts w:ascii="Perpetua" w:hAnsi="Perpetua" w:cs="Perpetua"/>
          <w:sz w:val="22"/>
        </w:rPr>
        <w:t xml:space="preserve"> </w:t>
      </w:r>
      <w:proofErr w:type="spellStart"/>
      <w:r>
        <w:rPr>
          <w:rFonts w:ascii="Perpetua" w:hAnsi="Perpetua" w:cs="Perpetua"/>
          <w:sz w:val="22"/>
        </w:rPr>
        <w:t>curriculum</w:t>
      </w:r>
      <w:proofErr w:type="spellEnd"/>
      <w:r>
        <w:rPr>
          <w:rFonts w:ascii="Perpetua" w:hAnsi="Perpetua" w:cs="Perpetua"/>
          <w:sz w:val="22"/>
        </w:rPr>
        <w:t xml:space="preserve"> de la educación media</w:t>
      </w:r>
      <w:r>
        <w:rPr>
          <w:rFonts w:ascii="Perpetua" w:hAnsi="Perpetua" w:cs="Perpetua"/>
          <w:sz w:val="13"/>
          <w:szCs w:val="13"/>
        </w:rPr>
        <w:t>27</w:t>
      </w:r>
      <w:r>
        <w:rPr>
          <w:rFonts w:ascii="Perpetua" w:hAnsi="Perpetua" w:cs="Perpetua"/>
          <w:sz w:val="22"/>
        </w:rPr>
        <w:t>.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Una parte importante de la investigación psicológica sobre actitudes resalta aquí tres ideas que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orientan</w:t>
      </w:r>
      <w:proofErr w:type="gramEnd"/>
      <w:r>
        <w:rPr>
          <w:rFonts w:ascii="Perpetua" w:hAnsi="Perpetua" w:cs="Perpetua"/>
          <w:sz w:val="22"/>
        </w:rPr>
        <w:t xml:space="preserve"> estas decisiones: las expectativas, el compromiso con una meta personal y la adhesión 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valores</w:t>
      </w:r>
      <w:proofErr w:type="gramEnd"/>
      <w:r>
        <w:rPr>
          <w:rFonts w:ascii="Perpetua" w:hAnsi="Perpetua" w:cs="Perpetua"/>
          <w:sz w:val="22"/>
        </w:rPr>
        <w:t xml:space="preserve"> de una institución. Estas características individuales han sido recalcadas desde hace más de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cuarenta</w:t>
      </w:r>
      <w:proofErr w:type="gramEnd"/>
      <w:r>
        <w:rPr>
          <w:rFonts w:ascii="Perpetua" w:hAnsi="Perpetua" w:cs="Perpetua"/>
          <w:sz w:val="22"/>
        </w:rPr>
        <w:t xml:space="preserve"> años por la investigación. Por ejemplo, en el estudio clásico de los años sesenta </w:t>
      </w:r>
      <w:proofErr w:type="gramStart"/>
      <w:r>
        <w:rPr>
          <w:rFonts w:ascii="Perpetua" w:hAnsi="Perpetua" w:cs="Perpetua"/>
          <w:sz w:val="22"/>
        </w:rPr>
        <w:t>sobre</w:t>
      </w:r>
      <w:proofErr w:type="gramEnd"/>
      <w:r>
        <w:rPr>
          <w:rFonts w:ascii="Perpetua" w:hAnsi="Perpetua" w:cs="Perpetua"/>
          <w:sz w:val="22"/>
        </w:rPr>
        <w:t xml:space="preserve"> una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muestra</w:t>
      </w:r>
      <w:proofErr w:type="gramEnd"/>
      <w:r>
        <w:rPr>
          <w:rFonts w:ascii="Perpetua" w:hAnsi="Perpetua" w:cs="Perpetua"/>
          <w:sz w:val="22"/>
        </w:rPr>
        <w:t xml:space="preserve"> de estudiantes de bachillerato del estado de Wisconsin</w:t>
      </w:r>
      <w:r>
        <w:rPr>
          <w:rFonts w:ascii="Perpetua" w:hAnsi="Perpetua" w:cs="Perpetua"/>
          <w:sz w:val="13"/>
          <w:szCs w:val="13"/>
        </w:rPr>
        <w:t>28</w:t>
      </w:r>
      <w:r>
        <w:rPr>
          <w:rFonts w:ascii="Perpetua" w:hAnsi="Perpetua" w:cs="Perpetua"/>
          <w:sz w:val="22"/>
        </w:rPr>
        <w:t xml:space="preserve">, </w:t>
      </w:r>
      <w:proofErr w:type="spellStart"/>
      <w:r>
        <w:rPr>
          <w:rFonts w:ascii="Perpetua" w:hAnsi="Perpetua" w:cs="Perpetua"/>
          <w:sz w:val="22"/>
        </w:rPr>
        <w:t>Sewell</w:t>
      </w:r>
      <w:proofErr w:type="spellEnd"/>
      <w:r>
        <w:rPr>
          <w:rFonts w:ascii="Perpetua" w:hAnsi="Perpetua" w:cs="Perpetua"/>
          <w:sz w:val="22"/>
        </w:rPr>
        <w:t xml:space="preserve"> &amp; </w:t>
      </w:r>
      <w:proofErr w:type="spellStart"/>
      <w:r>
        <w:rPr>
          <w:rFonts w:ascii="Perpetua" w:hAnsi="Perpetua" w:cs="Perpetua"/>
          <w:sz w:val="22"/>
        </w:rPr>
        <w:t>Shah</w:t>
      </w:r>
      <w:proofErr w:type="spellEnd"/>
      <w:r>
        <w:rPr>
          <w:rFonts w:ascii="Perpetua" w:hAnsi="Perpetua" w:cs="Perpetua"/>
          <w:sz w:val="22"/>
        </w:rPr>
        <w:t xml:space="preserve"> (1967, 1968) informaron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que</w:t>
      </w:r>
      <w:proofErr w:type="gramEnd"/>
      <w:r>
        <w:rPr>
          <w:rFonts w:ascii="Perpetua" w:hAnsi="Perpetua" w:cs="Perpetua"/>
          <w:sz w:val="22"/>
        </w:rPr>
        <w:t xml:space="preserve"> una vez controlado el efecto de la clase social y de la “inteligencia” personal, la variable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que</w:t>
      </w:r>
      <w:proofErr w:type="gramEnd"/>
      <w:r>
        <w:rPr>
          <w:rFonts w:ascii="Perpetua" w:hAnsi="Perpetua" w:cs="Perpetua"/>
          <w:sz w:val="22"/>
        </w:rPr>
        <w:t xml:space="preserve"> mejor predecía la conclusión o el abandono de los estudios superiores era relativa a los planes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o</w:t>
      </w:r>
      <w:proofErr w:type="gramEnd"/>
      <w:r>
        <w:rPr>
          <w:rFonts w:ascii="Perpetua" w:hAnsi="Perpetua" w:cs="Perpetua"/>
          <w:sz w:val="22"/>
        </w:rPr>
        <w:t xml:space="preserve"> expectativas educativas. En cualquiera de los tres casos, se supone que racionalmente los jóvenes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deciden</w:t>
      </w:r>
      <w:proofErr w:type="gramEnd"/>
      <w:r>
        <w:rPr>
          <w:rFonts w:ascii="Perpetua" w:hAnsi="Perpetua" w:cs="Perpetua"/>
          <w:sz w:val="22"/>
        </w:rPr>
        <w:t xml:space="preserve"> sobre su permanencia si es consistente con estos tres aspectos, pero no incorporan una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valoración</w:t>
      </w:r>
      <w:proofErr w:type="gramEnd"/>
      <w:r>
        <w:rPr>
          <w:rFonts w:ascii="Perpetua" w:hAnsi="Perpetua" w:cs="Perpetua"/>
          <w:sz w:val="22"/>
        </w:rPr>
        <w:t xml:space="preserve"> de consecuencias (positivas o negativas). Predomina lo que Max Weber denominó un tipo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</w:t>
      </w:r>
      <w:proofErr w:type="gramEnd"/>
      <w:r>
        <w:rPr>
          <w:rFonts w:ascii="Perpetua" w:hAnsi="Perpetua" w:cs="Perpetua"/>
          <w:sz w:val="22"/>
        </w:rPr>
        <w:t xml:space="preserve"> acción racional con arreglo a valores.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 xml:space="preserve">Un estudio típico de este enfoque es el realizado por Alexander, </w:t>
      </w:r>
      <w:proofErr w:type="spellStart"/>
      <w:r>
        <w:rPr>
          <w:rFonts w:ascii="Perpetua" w:hAnsi="Perpetua" w:cs="Perpetua"/>
          <w:sz w:val="22"/>
        </w:rPr>
        <w:t>Entwistle</w:t>
      </w:r>
      <w:proofErr w:type="spellEnd"/>
      <w:r>
        <w:rPr>
          <w:rFonts w:ascii="Perpetua" w:hAnsi="Perpetua" w:cs="Perpetua"/>
          <w:sz w:val="22"/>
        </w:rPr>
        <w:t xml:space="preserve"> &amp; </w:t>
      </w:r>
      <w:proofErr w:type="spellStart"/>
      <w:r>
        <w:rPr>
          <w:rFonts w:ascii="Perpetua" w:hAnsi="Perpetua" w:cs="Perpetua"/>
          <w:sz w:val="22"/>
        </w:rPr>
        <w:t>Horsey</w:t>
      </w:r>
      <w:proofErr w:type="spellEnd"/>
      <w:r>
        <w:rPr>
          <w:rFonts w:ascii="Perpetua" w:hAnsi="Perpetua" w:cs="Perpetua"/>
          <w:sz w:val="22"/>
        </w:rPr>
        <w:t xml:space="preserve"> (1997: 87)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quienes</w:t>
      </w:r>
      <w:proofErr w:type="gramEnd"/>
      <w:r>
        <w:rPr>
          <w:rFonts w:ascii="Perpetua" w:hAnsi="Perpetua" w:cs="Perpetua"/>
          <w:sz w:val="22"/>
        </w:rPr>
        <w:t xml:space="preserve"> definieron que la desafiliación era la culminación de un proceso de largo plazo en la pérdida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del</w:t>
      </w:r>
      <w:proofErr w:type="gramEnd"/>
      <w:r>
        <w:rPr>
          <w:rFonts w:ascii="Perpetua" w:hAnsi="Perpetua" w:cs="Perpetua"/>
          <w:sz w:val="22"/>
        </w:rPr>
        <w:t xml:space="preserve"> compromiso académico, surgido ya desde el primer año de Primaria. En su análisis del seguimiento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de</w:t>
      </w:r>
      <w:proofErr w:type="gramEnd"/>
      <w:r>
        <w:rPr>
          <w:rFonts w:ascii="Perpetua" w:hAnsi="Perpetua" w:cs="Perpetua"/>
          <w:sz w:val="22"/>
        </w:rPr>
        <w:t xml:space="preserve"> un panel durante 14 años comenzando en el primer grado, identificaron como los principales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predictores</w:t>
      </w:r>
      <w:proofErr w:type="gramEnd"/>
      <w:r>
        <w:rPr>
          <w:rFonts w:ascii="Perpetua" w:hAnsi="Perpetua" w:cs="Perpetua"/>
          <w:sz w:val="22"/>
        </w:rPr>
        <w:t>, una vez controlados, el género, raza y clase social, a: i) los cambios ocurridos en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la</w:t>
      </w:r>
      <w:proofErr w:type="gramEnd"/>
      <w:r>
        <w:rPr>
          <w:rFonts w:ascii="Perpetua" w:hAnsi="Perpetua" w:cs="Perpetua"/>
          <w:sz w:val="22"/>
        </w:rPr>
        <w:t xml:space="preserve"> familia; las expectativas académicas de los padres; el autocontrol; el compromiso académico; las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notas recibidas y la experiencia de repetición (Alexander et al, 1997: cuadro 1).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Otro grupo de enfoques psicosociales y criminológicos tiene mayor interés en indagar cómo ya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en</w:t>
      </w:r>
      <w:proofErr w:type="gramEnd"/>
      <w:r>
        <w:rPr>
          <w:rFonts w:ascii="Perpetua" w:hAnsi="Perpetua" w:cs="Perpetua"/>
          <w:sz w:val="22"/>
        </w:rPr>
        <w:t xml:space="preserve"> la etapa de la adolescencia, la desafiliación es una entre varias otras conductas desviadas, relacionadas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con</w:t>
      </w:r>
      <w:proofErr w:type="gramEnd"/>
      <w:r>
        <w:rPr>
          <w:rFonts w:ascii="Perpetua" w:hAnsi="Perpetua" w:cs="Perpetua"/>
          <w:sz w:val="22"/>
        </w:rPr>
        <w:t xml:space="preserve"> </w:t>
      </w:r>
      <w:r>
        <w:rPr>
          <w:rFonts w:ascii="Perpetua-Italic" w:hAnsi="Perpetua-Italic" w:cs="Perpetua-Italic"/>
          <w:i/>
          <w:iCs/>
          <w:sz w:val="22"/>
        </w:rPr>
        <w:t xml:space="preserve">faltas </w:t>
      </w:r>
      <w:r>
        <w:rPr>
          <w:rFonts w:ascii="Perpetua" w:hAnsi="Perpetua" w:cs="Perpetua"/>
          <w:sz w:val="22"/>
        </w:rPr>
        <w:t>“leves y moderadas” (la inasistencia a clase, actos de rebeldía, lesiones personales o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-Italic" w:hAnsi="Perpetua-Italic" w:cs="Perpetua-Italic"/>
          <w:i/>
          <w:iCs/>
          <w:sz w:val="22"/>
        </w:rPr>
      </w:pPr>
      <w:proofErr w:type="gramStart"/>
      <w:r>
        <w:rPr>
          <w:rFonts w:ascii="Perpetua" w:hAnsi="Perpetua" w:cs="Perpetua"/>
          <w:sz w:val="22"/>
        </w:rPr>
        <w:t>la</w:t>
      </w:r>
      <w:proofErr w:type="gramEnd"/>
      <w:r>
        <w:rPr>
          <w:rFonts w:ascii="Perpetua" w:hAnsi="Perpetua" w:cs="Perpetua"/>
          <w:sz w:val="22"/>
        </w:rPr>
        <w:t xml:space="preserve"> comisión de ciertos actos destructivos del edificio o mobiliario escolar), como con </w:t>
      </w:r>
      <w:r>
        <w:rPr>
          <w:rFonts w:ascii="Perpetua-Italic" w:hAnsi="Perpetua-Italic" w:cs="Perpetua-Italic"/>
          <w:i/>
          <w:iCs/>
          <w:sz w:val="22"/>
        </w:rPr>
        <w:t>faltas graves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-Italic" w:hAnsi="Perpetua-Italic" w:cs="Perpetua-Italic"/>
          <w:i/>
          <w:iCs/>
          <w:sz w:val="22"/>
        </w:rPr>
        <w:t>y</w:t>
      </w:r>
      <w:proofErr w:type="gramEnd"/>
      <w:r>
        <w:rPr>
          <w:rFonts w:ascii="Perpetua-Italic" w:hAnsi="Perpetua-Italic" w:cs="Perpetua-Italic"/>
          <w:i/>
          <w:iCs/>
          <w:sz w:val="22"/>
        </w:rPr>
        <w:t xml:space="preserve"> delitos </w:t>
      </w:r>
      <w:r>
        <w:rPr>
          <w:rFonts w:ascii="Perpetua" w:hAnsi="Perpetua" w:cs="Perpetua"/>
          <w:sz w:val="22"/>
        </w:rPr>
        <w:t>(la ingesta desmedidas de alcohol, el consumo de drogas ilegales, huidas de la casa, autoagresiones,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actos</w:t>
      </w:r>
      <w:proofErr w:type="gramEnd"/>
      <w:r>
        <w:rPr>
          <w:rFonts w:ascii="Perpetua" w:hAnsi="Perpetua" w:cs="Perpetua"/>
          <w:sz w:val="22"/>
        </w:rPr>
        <w:t xml:space="preserve"> vandálicos y lesiones personales graves a otros jóvenes) (</w:t>
      </w:r>
      <w:proofErr w:type="spellStart"/>
      <w:r>
        <w:rPr>
          <w:rFonts w:ascii="Perpetua" w:hAnsi="Perpetua" w:cs="Perpetua"/>
          <w:sz w:val="22"/>
        </w:rPr>
        <w:t>Mensch</w:t>
      </w:r>
      <w:proofErr w:type="spellEnd"/>
      <w:r>
        <w:rPr>
          <w:rFonts w:ascii="Perpetua" w:hAnsi="Perpetua" w:cs="Perpetua"/>
          <w:sz w:val="22"/>
        </w:rPr>
        <w:t xml:space="preserve"> &amp; </w:t>
      </w:r>
      <w:proofErr w:type="spellStart"/>
      <w:r>
        <w:rPr>
          <w:rFonts w:ascii="Perpetua" w:hAnsi="Perpetua" w:cs="Perpetua"/>
          <w:sz w:val="22"/>
        </w:rPr>
        <w:t>Kandel</w:t>
      </w:r>
      <w:proofErr w:type="spellEnd"/>
      <w:r>
        <w:rPr>
          <w:rFonts w:ascii="Perpetua" w:hAnsi="Perpetua" w:cs="Perpetua"/>
          <w:sz w:val="22"/>
        </w:rPr>
        <w:t>, 1988;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spellStart"/>
      <w:r>
        <w:rPr>
          <w:rFonts w:ascii="Perpetua" w:hAnsi="Perpetua" w:cs="Perpetua"/>
          <w:sz w:val="22"/>
        </w:rPr>
        <w:t>Ellikson</w:t>
      </w:r>
      <w:proofErr w:type="spellEnd"/>
      <w:r>
        <w:rPr>
          <w:rFonts w:ascii="Perpetua" w:hAnsi="Perpetua" w:cs="Perpetua"/>
          <w:sz w:val="22"/>
        </w:rPr>
        <w:t xml:space="preserve"> et al, 1998; </w:t>
      </w:r>
      <w:proofErr w:type="spellStart"/>
      <w:r>
        <w:rPr>
          <w:rFonts w:ascii="Perpetua" w:hAnsi="Perpetua" w:cs="Perpetua"/>
          <w:sz w:val="22"/>
        </w:rPr>
        <w:t>Drapela</w:t>
      </w:r>
      <w:proofErr w:type="spellEnd"/>
      <w:r>
        <w:rPr>
          <w:rFonts w:ascii="Perpetua" w:hAnsi="Perpetua" w:cs="Perpetua"/>
          <w:sz w:val="22"/>
        </w:rPr>
        <w:t>, 2005).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Más allá de estas asociaciones y de sus connotaciones, parece importante el esfuerzo hecho por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estas</w:t>
      </w:r>
      <w:proofErr w:type="gramEnd"/>
      <w:r>
        <w:rPr>
          <w:rFonts w:ascii="Perpetua" w:hAnsi="Perpetua" w:cs="Perpetua"/>
          <w:sz w:val="22"/>
        </w:rPr>
        <w:t xml:space="preserve"> explicaciones para reconstruir los mecanismos psicológico-sociales de desajuste que conducen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a</w:t>
      </w:r>
      <w:proofErr w:type="gramEnd"/>
      <w:r>
        <w:rPr>
          <w:rFonts w:ascii="Perpetua" w:hAnsi="Perpetua" w:cs="Perpetua"/>
          <w:sz w:val="22"/>
        </w:rPr>
        <w:t xml:space="preserve"> la desafiliación. Se trata que a través de los años transcurridos en la educación, ya desde Primaria,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los</w:t>
      </w:r>
      <w:proofErr w:type="gramEnd"/>
      <w:r>
        <w:rPr>
          <w:rFonts w:ascii="Perpetua" w:hAnsi="Perpetua" w:cs="Perpetua"/>
          <w:sz w:val="22"/>
        </w:rPr>
        <w:t xml:space="preserve"> niños y jóvenes experimentan eventos que contribuyen a obstaculizar el desarrollo de su autovaloración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y</w:t>
      </w:r>
      <w:proofErr w:type="gramEnd"/>
      <w:r>
        <w:rPr>
          <w:rFonts w:ascii="Perpetua" w:hAnsi="Perpetua" w:cs="Perpetua"/>
          <w:sz w:val="22"/>
        </w:rPr>
        <w:t xml:space="preserve"> auto-eficacia. Entre estos, la bibliografía internacional insiste mucho en los efectos de la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repetición</w:t>
      </w:r>
      <w:proofErr w:type="gramEnd"/>
      <w:r>
        <w:rPr>
          <w:rFonts w:ascii="Perpetua" w:hAnsi="Perpetua" w:cs="Perpetua"/>
          <w:sz w:val="22"/>
        </w:rPr>
        <w:t xml:space="preserve"> en la generación de un círculo vicioso de estigmatización y retraimientos. El ingreso en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la</w:t>
      </w:r>
      <w:proofErr w:type="gramEnd"/>
      <w:r>
        <w:rPr>
          <w:rFonts w:ascii="Perpetua" w:hAnsi="Perpetua" w:cs="Perpetua"/>
          <w:sz w:val="22"/>
        </w:rPr>
        <w:t xml:space="preserve"> etapa de la adolescencia con problemas acumulados de autovaloración, relacionamiento con los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otros</w:t>
      </w:r>
      <w:proofErr w:type="gramEnd"/>
      <w:r>
        <w:rPr>
          <w:rFonts w:ascii="Perpetua" w:hAnsi="Perpetua" w:cs="Perpetua"/>
          <w:sz w:val="22"/>
        </w:rPr>
        <w:t>, elevados niveles de frustración y una incapacidad de elaboración racional, traería aparejado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lastRenderedPageBreak/>
        <w:t>un</w:t>
      </w:r>
      <w:proofErr w:type="gramEnd"/>
      <w:r>
        <w:rPr>
          <w:rFonts w:ascii="Perpetua" w:hAnsi="Perpetua" w:cs="Perpetua"/>
          <w:sz w:val="22"/>
        </w:rPr>
        <w:t xml:space="preserve"> nuevo nivel de conflictos que se expresaría ya en forma de ausentismo o de actos antisociales.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En esta espiral, el abandono del curso primero y luego la desafiliación, parecería ser la forma más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natural</w:t>
      </w:r>
      <w:proofErr w:type="gramEnd"/>
      <w:r>
        <w:rPr>
          <w:rFonts w:ascii="Perpetua" w:hAnsi="Perpetua" w:cs="Perpetua"/>
          <w:sz w:val="22"/>
        </w:rPr>
        <w:t xml:space="preserve"> de finalizar un largo conflicto entre la escuela y el joven.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-Italic" w:hAnsi="Perpetua-Italic" w:cs="Perpetua-Italic"/>
          <w:i/>
          <w:iCs/>
          <w:sz w:val="22"/>
        </w:rPr>
      </w:pPr>
      <w:r>
        <w:rPr>
          <w:rFonts w:ascii="Perpetua" w:hAnsi="Perpetua" w:cs="Perpetua"/>
          <w:sz w:val="22"/>
        </w:rPr>
        <w:t xml:space="preserve">Por estas razones teóricas, resulta crucial para este enfoque un registro de antecedentes de </w:t>
      </w:r>
      <w:r>
        <w:rPr>
          <w:rFonts w:ascii="Perpetua-Italic" w:hAnsi="Perpetua-Italic" w:cs="Perpetua-Italic"/>
          <w:i/>
          <w:iCs/>
          <w:sz w:val="22"/>
        </w:rPr>
        <w:t>mala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-Italic" w:hAnsi="Perpetua-Italic" w:cs="Perpetua-Italic"/>
          <w:i/>
          <w:iCs/>
          <w:sz w:val="22"/>
        </w:rPr>
        <w:t>conducta</w:t>
      </w:r>
      <w:proofErr w:type="gramEnd"/>
      <w:r>
        <w:rPr>
          <w:rFonts w:ascii="Perpetua-Italic" w:hAnsi="Perpetua-Italic" w:cs="Perpetua-Italic"/>
          <w:i/>
          <w:iCs/>
          <w:sz w:val="22"/>
        </w:rPr>
        <w:t xml:space="preserve"> </w:t>
      </w:r>
      <w:r>
        <w:rPr>
          <w:rFonts w:ascii="Perpetua" w:hAnsi="Perpetua" w:cs="Perpetua"/>
          <w:sz w:val="22"/>
        </w:rPr>
        <w:t xml:space="preserve">o de </w:t>
      </w:r>
      <w:r>
        <w:rPr>
          <w:rFonts w:ascii="Perpetua-Italic" w:hAnsi="Perpetua-Italic" w:cs="Perpetua-Italic"/>
          <w:i/>
          <w:iCs/>
          <w:sz w:val="22"/>
        </w:rPr>
        <w:t xml:space="preserve">desmotivación </w:t>
      </w:r>
      <w:r>
        <w:rPr>
          <w:rFonts w:ascii="Perpetua" w:hAnsi="Perpetua" w:cs="Perpetua"/>
          <w:sz w:val="22"/>
        </w:rPr>
        <w:t xml:space="preserve">en los jóvenes, que permita luego establecer perfiles de </w:t>
      </w:r>
      <w:r>
        <w:rPr>
          <w:rFonts w:ascii="Perpetua-Italic" w:hAnsi="Perpetua-Italic" w:cs="Perpetua-Italic"/>
          <w:i/>
          <w:iCs/>
          <w:sz w:val="22"/>
        </w:rPr>
        <w:t>riesgo</w:t>
      </w:r>
      <w:r>
        <w:rPr>
          <w:rFonts w:ascii="Perpetua" w:hAnsi="Perpetua" w:cs="Perpetua"/>
          <w:sz w:val="22"/>
        </w:rPr>
        <w:t>. De la misma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manera</w:t>
      </w:r>
      <w:proofErr w:type="gramEnd"/>
      <w:r>
        <w:rPr>
          <w:rFonts w:ascii="Perpetua" w:hAnsi="Perpetua" w:cs="Perpetua"/>
          <w:sz w:val="22"/>
        </w:rPr>
        <w:t>, los enfoques de política suelen centrarse en “intervenciones profilácticas” (por ejemplo derivaciones a sesiones grupales), en el refuerzo de la disciplina a través de la disuasión o el control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personalizado</w:t>
      </w:r>
      <w:proofErr w:type="gramEnd"/>
      <w:r>
        <w:rPr>
          <w:rFonts w:ascii="Perpetua" w:hAnsi="Perpetua" w:cs="Perpetua"/>
          <w:sz w:val="22"/>
        </w:rPr>
        <w:t>, o en terapias psicológicas. En cualquiera de estas alternativas de intervención, es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claro</w:t>
      </w:r>
      <w:proofErr w:type="gramEnd"/>
      <w:r>
        <w:rPr>
          <w:rFonts w:ascii="Perpetua" w:hAnsi="Perpetua" w:cs="Perpetua"/>
          <w:sz w:val="22"/>
        </w:rPr>
        <w:t xml:space="preserve"> que los saberes requeridos y los actores calificados para llevar adelante las acciones no son los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docentes</w:t>
      </w:r>
      <w:proofErr w:type="gramEnd"/>
      <w:r>
        <w:rPr>
          <w:rFonts w:ascii="Perpetua" w:hAnsi="Perpetua" w:cs="Perpetua"/>
          <w:sz w:val="22"/>
        </w:rPr>
        <w:t xml:space="preserve"> de aula, sino otros profesionales especializados. Es claro además que estas intervenciones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gramStart"/>
      <w:r>
        <w:rPr>
          <w:rFonts w:ascii="Perpetua" w:hAnsi="Perpetua" w:cs="Perpetua"/>
          <w:sz w:val="22"/>
        </w:rPr>
        <w:t>siempre</w:t>
      </w:r>
      <w:proofErr w:type="gramEnd"/>
      <w:r>
        <w:rPr>
          <w:rFonts w:ascii="Perpetua" w:hAnsi="Perpetua" w:cs="Perpetua"/>
          <w:sz w:val="22"/>
        </w:rPr>
        <w:t xml:space="preserve"> conllevan una fuerte personalización que atiende a la trayectoria de vida</w:t>
      </w:r>
    </w:p>
    <w:p w:rsidR="00B41C12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Prueba grado 2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3D4C53" w:rsidRP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La desigualdad educativa es la d</w:t>
      </w:r>
      <w:r w:rsidR="00130DE5" w:rsidRPr="001C4633">
        <w:rPr>
          <w:rFonts w:ascii="Perpetua" w:hAnsi="Perpetua" w:cs="Perpetua"/>
          <w:sz w:val="22"/>
        </w:rPr>
        <w:t>istribución no aleatoria de al menos tres elementos:</w:t>
      </w:r>
    </w:p>
    <w:p w:rsidR="003D4C53" w:rsidRPr="001C4633" w:rsidRDefault="00130DE5" w:rsidP="001C46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ACCESO A LA EDUCACION</w:t>
      </w:r>
    </w:p>
    <w:p w:rsidR="003D4C53" w:rsidRPr="001C4633" w:rsidRDefault="00130DE5" w:rsidP="001C46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RESULTADOS TERMINALES</w:t>
      </w:r>
    </w:p>
    <w:p w:rsidR="003D4C53" w:rsidRPr="001C4633" w:rsidRDefault="00130DE5" w:rsidP="001C46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RENDIMIENTO EDUCATIVO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Hay desigualdad por nivel. No es lo mismo desigualdad primaria, secundaria, terciaria.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3D4C53" w:rsidRPr="001C4633" w:rsidRDefault="00130DE5" w:rsidP="001C46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lang w:val="en-US"/>
        </w:rPr>
        <w:t>DESIGUADADES DE STOCK</w:t>
      </w:r>
    </w:p>
    <w:p w:rsidR="003D4C53" w:rsidRPr="001C4633" w:rsidRDefault="00130DE5" w:rsidP="001C46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lang w:val="en-US"/>
        </w:rPr>
        <w:t>DESIGUALDADES DE APPRENDIZAJE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3D4C53" w:rsidRPr="001C4633" w:rsidRDefault="00130DE5" w:rsidP="001C46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Cuatro grandes teorías explicativas:</w:t>
      </w:r>
    </w:p>
    <w:p w:rsidR="003D4C53" w:rsidRPr="001C4633" w:rsidRDefault="00130DE5" w:rsidP="001C46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ORIGEN SOCIAL</w:t>
      </w:r>
    </w:p>
    <w:p w:rsidR="003D4C53" w:rsidRPr="001C4633" w:rsidRDefault="00130DE5" w:rsidP="001C46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CENTRO EDUCATIVO</w:t>
      </w:r>
    </w:p>
    <w:p w:rsidR="003D4C53" w:rsidRPr="001C4633" w:rsidRDefault="00130DE5" w:rsidP="001C46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DISEÑ</w:t>
      </w:r>
      <w:r w:rsidRPr="001C4633">
        <w:rPr>
          <w:rFonts w:ascii="Perpetua" w:hAnsi="Perpetua" w:cs="Perpetua"/>
          <w:sz w:val="22"/>
          <w:lang w:val="en-US"/>
        </w:rPr>
        <w:t>O INSTITUCIONAL</w:t>
      </w:r>
    </w:p>
    <w:p w:rsidR="003D4C53" w:rsidRPr="001C4633" w:rsidRDefault="00130DE5" w:rsidP="001C46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lang w:val="en-US"/>
        </w:rPr>
        <w:t>COMPETENCIAS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3D4C53" w:rsidRPr="001C4633" w:rsidRDefault="00130DE5" w:rsidP="001C46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lang w:val="en-US"/>
        </w:rPr>
        <w:t>COMPETENCIAS:</w:t>
      </w:r>
    </w:p>
    <w:p w:rsidR="003D4C53" w:rsidRPr="001C4633" w:rsidRDefault="00130DE5" w:rsidP="001C46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u w:val="single"/>
        </w:rPr>
        <w:t>¿Que se aprende</w:t>
      </w:r>
      <w:r w:rsidRPr="001C4633">
        <w:rPr>
          <w:rFonts w:ascii="Perpetua" w:hAnsi="Perpetua" w:cs="Perpetua"/>
          <w:sz w:val="22"/>
          <w:u w:val="single"/>
          <w:lang w:val="en-US"/>
        </w:rPr>
        <w:t>?</w:t>
      </w:r>
      <w:r w:rsidRPr="001C4633">
        <w:rPr>
          <w:rFonts w:ascii="Perpetua" w:hAnsi="Perpetua" w:cs="Perpetua"/>
          <w:sz w:val="22"/>
          <w:u w:val="single"/>
        </w:rPr>
        <w:t>:</w:t>
      </w:r>
    </w:p>
    <w:p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i) Manteniendo constante el nivel educativo y la clase social, los retornos educativos responden a las competencias adquiridas.</w:t>
      </w:r>
    </w:p>
    <w:p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ii) Implica que existe una segmentación producto de haber obtenido mejores aprendizajes.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3D4C53" w:rsidRPr="001C4633" w:rsidRDefault="00130DE5" w:rsidP="001C46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lang w:val="en-US"/>
        </w:rPr>
        <w:t>CENTRO EDUCATIVO:</w:t>
      </w:r>
    </w:p>
    <w:p w:rsidR="003D4C53" w:rsidRPr="001C4633" w:rsidRDefault="00130DE5" w:rsidP="001C46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u w:val="single"/>
        </w:rPr>
        <w:t>Neo-institucionalismo:</w:t>
      </w:r>
    </w:p>
    <w:p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 xml:space="preserve">i) La educación privada, al no tener un </w:t>
      </w:r>
      <w:proofErr w:type="spellStart"/>
      <w:r w:rsidRPr="001C4633">
        <w:rPr>
          <w:rFonts w:ascii="Perpetua" w:hAnsi="Perpetua" w:cs="Perpetua"/>
          <w:sz w:val="22"/>
        </w:rPr>
        <w:t>publico</w:t>
      </w:r>
      <w:proofErr w:type="spellEnd"/>
      <w:r w:rsidRPr="001C4633">
        <w:rPr>
          <w:rFonts w:ascii="Perpetua" w:hAnsi="Perpetua" w:cs="Perpetua"/>
          <w:sz w:val="22"/>
        </w:rPr>
        <w:t xml:space="preserve"> cautivo y tener </w:t>
      </w:r>
      <w:proofErr w:type="spellStart"/>
      <w:r w:rsidRPr="001C4633">
        <w:rPr>
          <w:rFonts w:ascii="Perpetua" w:hAnsi="Perpetua" w:cs="Perpetua"/>
          <w:sz w:val="22"/>
        </w:rPr>
        <w:t>mas</w:t>
      </w:r>
      <w:proofErr w:type="spellEnd"/>
      <w:r w:rsidRPr="001C4633">
        <w:rPr>
          <w:rFonts w:ascii="Perpetua" w:hAnsi="Perpetua" w:cs="Perpetua"/>
          <w:sz w:val="22"/>
        </w:rPr>
        <w:t xml:space="preserve"> presente la presión parental se vería pensionada para generar mejoras e innovaciones educativas.</w:t>
      </w:r>
    </w:p>
    <w:p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ii) Las innovaciones estarían relacionadas con la estructura, gestión, clima organizacional.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3D4C53" w:rsidRPr="001C4633" w:rsidRDefault="00130DE5" w:rsidP="001C46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lang w:val="en-US"/>
        </w:rPr>
        <w:t>DISE</w:t>
      </w:r>
      <w:r w:rsidRPr="001C4633">
        <w:rPr>
          <w:rFonts w:ascii="Perpetua" w:hAnsi="Perpetua" w:cs="Perpetua"/>
          <w:sz w:val="22"/>
        </w:rPr>
        <w:t>Ñ</w:t>
      </w:r>
      <w:r w:rsidRPr="001C4633">
        <w:rPr>
          <w:rFonts w:ascii="Perpetua" w:hAnsi="Perpetua" w:cs="Perpetua"/>
          <w:sz w:val="22"/>
          <w:lang w:val="en-US"/>
        </w:rPr>
        <w:t>O INSTITUCIONAL:</w:t>
      </w:r>
    </w:p>
    <w:p w:rsidR="003D4C53" w:rsidRPr="001C4633" w:rsidRDefault="00130DE5" w:rsidP="001C46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  <w:u w:val="single"/>
        </w:rPr>
        <w:t>Gobernanza (estructura ANEP):</w:t>
      </w:r>
    </w:p>
    <w:p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proofErr w:type="spellStart"/>
      <w:r w:rsidRPr="001C4633">
        <w:rPr>
          <w:rFonts w:ascii="Perpetua" w:hAnsi="Perpetua" w:cs="Perpetua"/>
          <w:sz w:val="22"/>
          <w:lang w:val="en-US"/>
        </w:rPr>
        <w:t>i</w:t>
      </w:r>
      <w:proofErr w:type="spellEnd"/>
      <w:r w:rsidRPr="001C4633">
        <w:rPr>
          <w:rFonts w:ascii="Perpetua" w:hAnsi="Perpetua" w:cs="Perpetua"/>
          <w:sz w:val="22"/>
          <w:lang w:val="en-US"/>
        </w:rPr>
        <w:t xml:space="preserve">) </w:t>
      </w:r>
      <w:r w:rsidRPr="001C4633">
        <w:rPr>
          <w:rFonts w:ascii="Perpetua" w:hAnsi="Perpetua" w:cs="Perpetua"/>
          <w:sz w:val="22"/>
        </w:rPr>
        <w:t>Gobierno del sistema.</w:t>
      </w:r>
    </w:p>
    <w:p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ii) Financiamiento.</w:t>
      </w:r>
    </w:p>
    <w:p w:rsidR="001C4633" w:rsidRDefault="001C4633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 w:rsidRPr="001C4633">
        <w:rPr>
          <w:rFonts w:ascii="Perpetua" w:hAnsi="Perpetua" w:cs="Perpetua"/>
          <w:sz w:val="22"/>
        </w:rPr>
        <w:t>ii) Dirección de establecimientos.</w:t>
      </w:r>
    </w:p>
    <w:p w:rsidR="00AC5CE1" w:rsidRDefault="00AC5CE1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AC5CE1" w:rsidRDefault="00AC5CE1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lastRenderedPageBreak/>
        <w:t>Reformistas plan de estudio. 90´</w:t>
      </w:r>
    </w:p>
    <w:p w:rsidR="00AC5CE1" w:rsidRDefault="00AC5CE1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147A99" w:rsidRDefault="00147A99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>POLÍTICAS</w:t>
      </w:r>
      <w:proofErr w:type="gramStart"/>
      <w:r>
        <w:rPr>
          <w:rFonts w:ascii="Perpetua" w:hAnsi="Perpetua" w:cs="Perpetua"/>
          <w:sz w:val="22"/>
        </w:rPr>
        <w:t>!!!</w:t>
      </w:r>
      <w:proofErr w:type="gramEnd"/>
      <w:r>
        <w:rPr>
          <w:rFonts w:ascii="Perpetua" w:hAnsi="Perpetua" w:cs="Perpetua"/>
          <w:sz w:val="22"/>
        </w:rPr>
        <w:t xml:space="preserve"> MÍNIMO DEL DIAGNÓSTICO</w:t>
      </w:r>
    </w:p>
    <w:p w:rsidR="00AC5CE1" w:rsidRPr="001C4633" w:rsidRDefault="00AC5CE1" w:rsidP="001C4633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  <w:r>
        <w:rPr>
          <w:rFonts w:ascii="Perpetua" w:hAnsi="Perpetua" w:cs="Perpetua"/>
          <w:sz w:val="22"/>
        </w:rPr>
        <w:t xml:space="preserve"> </w:t>
      </w:r>
    </w:p>
    <w:p w:rsidR="001C4633" w:rsidRDefault="001C4633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sz w:val="22"/>
        </w:rPr>
      </w:pPr>
    </w:p>
    <w:p w:rsidR="00B41C12" w:rsidRPr="008B1E0F" w:rsidRDefault="00B41C12" w:rsidP="00B41C12">
      <w:pPr>
        <w:autoSpaceDE w:val="0"/>
        <w:autoSpaceDN w:val="0"/>
        <w:adjustRightInd w:val="0"/>
        <w:spacing w:after="0" w:line="240" w:lineRule="auto"/>
        <w:jc w:val="left"/>
        <w:rPr>
          <w:rFonts w:ascii="Perpetua" w:hAnsi="Perpetua" w:cs="Perpetua"/>
          <w:color w:val="000000"/>
          <w:sz w:val="22"/>
        </w:rPr>
      </w:pPr>
    </w:p>
    <w:sectPr w:rsidR="00B41C12" w:rsidRPr="008B1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B1B"/>
    <w:multiLevelType w:val="hybridMultilevel"/>
    <w:tmpl w:val="CF14C6AA"/>
    <w:lvl w:ilvl="0" w:tplc="04462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8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82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0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A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EF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E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4E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20E2"/>
    <w:multiLevelType w:val="hybridMultilevel"/>
    <w:tmpl w:val="8244E0AA"/>
    <w:lvl w:ilvl="0" w:tplc="7882B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F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E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5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4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2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4E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C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B311EB"/>
    <w:multiLevelType w:val="hybridMultilevel"/>
    <w:tmpl w:val="526C7C50"/>
    <w:lvl w:ilvl="0" w:tplc="99F00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6B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4C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AA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8B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0E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FD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A71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214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657525"/>
    <w:multiLevelType w:val="hybridMultilevel"/>
    <w:tmpl w:val="A2F07C2E"/>
    <w:lvl w:ilvl="0" w:tplc="5B96F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0E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21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C0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038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7A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0E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A0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744FA8"/>
    <w:multiLevelType w:val="hybridMultilevel"/>
    <w:tmpl w:val="3C76F892"/>
    <w:lvl w:ilvl="0" w:tplc="7B90D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82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2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2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E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82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4A091F"/>
    <w:multiLevelType w:val="hybridMultilevel"/>
    <w:tmpl w:val="12BE75AE"/>
    <w:lvl w:ilvl="0" w:tplc="25B8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A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C4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CC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8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F2771E"/>
    <w:multiLevelType w:val="hybridMultilevel"/>
    <w:tmpl w:val="23F85BC2"/>
    <w:lvl w:ilvl="0" w:tplc="7F68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07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6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E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E8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4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E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7B631B"/>
    <w:multiLevelType w:val="hybridMultilevel"/>
    <w:tmpl w:val="7CBA63F0"/>
    <w:lvl w:ilvl="0" w:tplc="79D45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60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EF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CC8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A8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65C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22C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AC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5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463026"/>
    <w:multiLevelType w:val="hybridMultilevel"/>
    <w:tmpl w:val="1C46FE5E"/>
    <w:lvl w:ilvl="0" w:tplc="FE860C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77CF7"/>
    <w:multiLevelType w:val="hybridMultilevel"/>
    <w:tmpl w:val="AAEA705C"/>
    <w:lvl w:ilvl="0" w:tplc="D9121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C5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029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61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CD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4FA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02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6D4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4D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0E1459"/>
    <w:multiLevelType w:val="hybridMultilevel"/>
    <w:tmpl w:val="A524D67A"/>
    <w:lvl w:ilvl="0" w:tplc="A07E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4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0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4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60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8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E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F212E3"/>
    <w:multiLevelType w:val="hybridMultilevel"/>
    <w:tmpl w:val="9A5ADB5C"/>
    <w:lvl w:ilvl="0" w:tplc="F044F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E9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644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0C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E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2AF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A6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A1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E5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7D"/>
    <w:rsid w:val="00010D97"/>
    <w:rsid w:val="00076964"/>
    <w:rsid w:val="00130DE5"/>
    <w:rsid w:val="00147A99"/>
    <w:rsid w:val="001C4633"/>
    <w:rsid w:val="003D4C53"/>
    <w:rsid w:val="005B206C"/>
    <w:rsid w:val="006377C7"/>
    <w:rsid w:val="006440FC"/>
    <w:rsid w:val="006736ED"/>
    <w:rsid w:val="006B249F"/>
    <w:rsid w:val="006E311B"/>
    <w:rsid w:val="006E585A"/>
    <w:rsid w:val="007958DE"/>
    <w:rsid w:val="00894D11"/>
    <w:rsid w:val="008B1E0F"/>
    <w:rsid w:val="00914011"/>
    <w:rsid w:val="00933D45"/>
    <w:rsid w:val="009511B5"/>
    <w:rsid w:val="009D42EA"/>
    <w:rsid w:val="00AC5CE1"/>
    <w:rsid w:val="00B41C12"/>
    <w:rsid w:val="00B43112"/>
    <w:rsid w:val="00B735A2"/>
    <w:rsid w:val="00BA687D"/>
    <w:rsid w:val="00BD5770"/>
    <w:rsid w:val="00CD4F0D"/>
    <w:rsid w:val="00EC7C86"/>
    <w:rsid w:val="00E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1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50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4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3182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</dc:creator>
  <cp:keywords/>
  <dc:description/>
  <cp:lastModifiedBy>agustina</cp:lastModifiedBy>
  <cp:revision>8</cp:revision>
  <dcterms:created xsi:type="dcterms:W3CDTF">2015-09-21T18:48:00Z</dcterms:created>
  <dcterms:modified xsi:type="dcterms:W3CDTF">2015-09-23T14:59:00Z</dcterms:modified>
</cp:coreProperties>
</file>