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Práctico sobre diseño de investigación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Pauta:</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A continuación se le presentan una serie de enlaces a artículos científicos publicados en la web  y disponibles a partir de una búsqueda en Google Académico.</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Debe leer los abstracts o resúmenes y a partir de dicha lectura y si fuera necesario un escaneo rápido del texto:</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Identificar objetivos del estudio</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Determinar qué tipo de diseño tiene el artículo, según objetivo (exploratorio, descriptivo, explicativo, etc.), formato del dato (cuantitativo o cualitativo), el grado de manipulación de la variable (experimental, cuasi experimental, no experimental) y el elemento tiempo (longitudinal, transeccional)</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Identificar técnicas y herramientas de relevamiento utilizadas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Tome en cuenta las siguientes indicaciones: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color w:val="134f5c"/>
        </w:rPr>
      </w:pPr>
      <w:r w:rsidDel="00000000" w:rsidR="00000000" w:rsidRPr="00000000">
        <w:rPr>
          <w:color w:val="134f5c"/>
          <w:rtl w:val="0"/>
        </w:rPr>
        <w:t xml:space="preserve">1. Realice la tarea en subgrupos, intercambiando con sus compañeros en el foro del grupo.</w:t>
      </w:r>
    </w:p>
    <w:p w:rsidR="00000000" w:rsidDel="00000000" w:rsidP="00000000" w:rsidRDefault="00000000" w:rsidRPr="00000000" w14:paraId="0000000F">
      <w:pPr>
        <w:pageBreakBefore w:val="0"/>
        <w:rPr>
          <w:color w:val="134f5c"/>
        </w:rPr>
      </w:pPr>
      <w:r w:rsidDel="00000000" w:rsidR="00000000" w:rsidRPr="00000000">
        <w:rPr>
          <w:color w:val="134f5c"/>
          <w:rtl w:val="0"/>
        </w:rPr>
        <w:t xml:space="preserve">2. Debe responder las preguntas sobre 1 de los casos</w:t>
      </w:r>
    </w:p>
    <w:p w:rsidR="00000000" w:rsidDel="00000000" w:rsidP="00000000" w:rsidRDefault="00000000" w:rsidRPr="00000000" w14:paraId="00000010">
      <w:pPr>
        <w:pageBreakBefore w:val="0"/>
        <w:rPr>
          <w:color w:val="134f5c"/>
        </w:rPr>
      </w:pPr>
      <w:r w:rsidDel="00000000" w:rsidR="00000000" w:rsidRPr="00000000">
        <w:rPr>
          <w:color w:val="134f5c"/>
          <w:rtl w:val="0"/>
        </w:rPr>
        <w:t xml:space="preserve">3. Responda tan completo como le sea posible, aunque </w:t>
      </w:r>
      <w:r w:rsidDel="00000000" w:rsidR="00000000" w:rsidRPr="00000000">
        <w:rPr>
          <w:color w:val="134f5c"/>
          <w:rtl w:val="0"/>
        </w:rPr>
        <w:t xml:space="preserve">queden</w:t>
      </w:r>
      <w:r w:rsidDel="00000000" w:rsidR="00000000" w:rsidRPr="00000000">
        <w:rPr>
          <w:color w:val="134f5c"/>
          <w:rtl w:val="0"/>
        </w:rPr>
        <w:t xml:space="preserve"> aspectos por cubrir. </w:t>
      </w:r>
    </w:p>
    <w:p w:rsidR="00000000" w:rsidDel="00000000" w:rsidP="00000000" w:rsidRDefault="00000000" w:rsidRPr="00000000" w14:paraId="00000011">
      <w:pPr>
        <w:pageBreakBefore w:val="0"/>
        <w:rPr>
          <w:color w:val="134f5c"/>
        </w:rPr>
      </w:pPr>
      <w:r w:rsidDel="00000000" w:rsidR="00000000" w:rsidRPr="00000000">
        <w:rPr>
          <w:color w:val="134f5c"/>
          <w:rtl w:val="0"/>
        </w:rPr>
        <w:t xml:space="preserve">4. Se realizará una devolución sobre los casos en el siguiente práctico.</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jc w:val="center"/>
              <w:rPr>
                <w:b w:val="1"/>
                <w:sz w:val="20"/>
                <w:szCs w:val="20"/>
              </w:rPr>
            </w:pPr>
            <w:r w:rsidDel="00000000" w:rsidR="00000000" w:rsidRPr="00000000">
              <w:rPr>
                <w:b w:val="1"/>
                <w:sz w:val="20"/>
                <w:szCs w:val="20"/>
                <w:rtl w:val="0"/>
              </w:rPr>
              <w:t xml:space="preserve">Tema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Style w:val="Heading2"/>
              <w:keepNext w:val="0"/>
              <w:keepLines w:val="0"/>
              <w:pageBreakBefore w:val="0"/>
              <w:widowControl w:val="0"/>
              <w:spacing w:after="0" w:before="0" w:line="264" w:lineRule="auto"/>
              <w:jc w:val="center"/>
              <w:rPr>
                <w:b w:val="1"/>
                <w:sz w:val="20"/>
                <w:szCs w:val="20"/>
              </w:rPr>
            </w:pPr>
            <w:bookmarkStart w:colFirst="0" w:colLast="0" w:name="_dg9ezwu79g4r" w:id="0"/>
            <w:bookmarkEnd w:id="0"/>
            <w:r w:rsidDel="00000000" w:rsidR="00000000" w:rsidRPr="00000000">
              <w:rPr>
                <w:b w:val="1"/>
                <w:sz w:val="20"/>
                <w:szCs w:val="20"/>
                <w:rtl w:val="0"/>
              </w:rPr>
              <w:t xml:space="preserve">Título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jc w:val="center"/>
              <w:rPr>
                <w:b w:val="1"/>
                <w:sz w:val="20"/>
                <w:szCs w:val="20"/>
              </w:rPr>
            </w:pPr>
            <w:r w:rsidDel="00000000" w:rsidR="00000000" w:rsidRPr="00000000">
              <w:rPr>
                <w:b w:val="1"/>
                <w:sz w:val="20"/>
                <w:szCs w:val="20"/>
                <w:rtl w:val="0"/>
              </w:rPr>
              <w:t xml:space="preserve">Link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1.Brecha digital y Plan ceibal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Style w:val="Heading2"/>
              <w:keepNext w:val="0"/>
              <w:keepLines w:val="0"/>
              <w:pageBreakBefore w:val="0"/>
              <w:widowControl w:val="0"/>
              <w:spacing w:after="0" w:before="0" w:line="264" w:lineRule="auto"/>
              <w:rPr>
                <w:sz w:val="20"/>
                <w:szCs w:val="20"/>
              </w:rPr>
            </w:pPr>
            <w:bookmarkStart w:colFirst="0" w:colLast="0" w:name="_dg9ezwu79g4r" w:id="0"/>
            <w:bookmarkEnd w:id="0"/>
            <w:r w:rsidDel="00000000" w:rsidR="00000000" w:rsidRPr="00000000">
              <w:rPr>
                <w:sz w:val="20"/>
                <w:szCs w:val="20"/>
                <w:rtl w:val="0"/>
              </w:rPr>
              <w:t xml:space="preserve">¿CONTRIBUYE EL PLAN CEIBAL A</w:t>
            </w:r>
            <w:commentRangeStart w:id="0"/>
            <w:commentRangeStart w:id="1"/>
            <w:r w:rsidDel="00000000" w:rsidR="00000000" w:rsidRPr="00000000">
              <w:rPr>
                <w:sz w:val="20"/>
                <w:szCs w:val="20"/>
                <w:rtl w:val="0"/>
              </w:rPr>
              <w:t xml:space="preserve"> CERRAR </w:t>
            </w:r>
            <w:commentRangeEnd w:id="0"/>
            <w:r w:rsidDel="00000000" w:rsidR="00000000" w:rsidRPr="00000000">
              <w:commentReference w:id="0"/>
            </w:r>
            <w:commentRangeEnd w:id="1"/>
            <w:r w:rsidDel="00000000" w:rsidR="00000000" w:rsidRPr="00000000">
              <w:commentReference w:id="1"/>
            </w:r>
            <w:r w:rsidDel="00000000" w:rsidR="00000000" w:rsidRPr="00000000">
              <w:rPr>
                <w:sz w:val="20"/>
                <w:szCs w:val="20"/>
                <w:rtl w:val="0"/>
              </w:rPr>
              <w:t xml:space="preserve">LA BRECHA DIGITAL EN URUGUAY? ALGUNOS INDICIOS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sz w:val="20"/>
                <w:szCs w:val="20"/>
              </w:rPr>
            </w:pPr>
            <w:hyperlink r:id="rId8">
              <w:r w:rsidDel="00000000" w:rsidR="00000000" w:rsidRPr="00000000">
                <w:rPr>
                  <w:color w:val="1155cc"/>
                  <w:sz w:val="20"/>
                  <w:szCs w:val="20"/>
                  <w:u w:val="single"/>
                  <w:rtl w:val="0"/>
                </w:rPr>
                <w:t xml:space="preserve">  https://digital.fundacionceibal.edu.uy/jspui/handle/123456789/160</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 Emprendedurismo en una localidad de Ecuador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after="240" w:before="240" w:line="240" w:lineRule="auto"/>
              <w:rPr>
                <w:sz w:val="20"/>
                <w:szCs w:val="20"/>
              </w:rPr>
            </w:pPr>
            <w:r w:rsidDel="00000000" w:rsidR="00000000" w:rsidRPr="00000000">
              <w:rPr>
                <w:color w:val="1d1b11"/>
                <w:sz w:val="20"/>
                <w:szCs w:val="20"/>
                <w:rtl w:val="0"/>
              </w:rPr>
              <w:t xml:space="preserve">FACTORES QUE LIMITAN EL </w:t>
            </w:r>
            <w:r w:rsidDel="00000000" w:rsidR="00000000" w:rsidRPr="00000000">
              <w:rPr>
                <w:sz w:val="20"/>
                <w:szCs w:val="20"/>
                <w:rtl w:val="0"/>
              </w:rPr>
              <w:t xml:space="preserve">EMPRENDEDURISMO EMPRESARIAL EN EL CANTÓN ESMERALDAS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9">
              <w:r w:rsidDel="00000000" w:rsidR="00000000" w:rsidRPr="00000000">
                <w:rPr>
                  <w:color w:val="1155cc"/>
                  <w:sz w:val="20"/>
                  <w:szCs w:val="20"/>
                  <w:u w:val="single"/>
                  <w:rtl w:val="0"/>
                </w:rPr>
                <w:t xml:space="preserve">http://revistasdigitales.utelvt.edu.ec/revista/index.php/investigacion_y_saberes/article/view/100</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 Industrialización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Style w:val="Heading1"/>
              <w:keepNext w:val="0"/>
              <w:keepLines w:val="0"/>
              <w:pageBreakBefore w:val="0"/>
              <w:widowControl w:val="0"/>
              <w:pBdr>
                <w:bottom w:color="eeeeee" w:space="6" w:sz="6" w:val="single"/>
              </w:pBdr>
              <w:spacing w:after="300" w:before="600" w:line="264" w:lineRule="auto"/>
              <w:rPr>
                <w:color w:val="333333"/>
                <w:sz w:val="20"/>
                <w:szCs w:val="20"/>
              </w:rPr>
            </w:pPr>
            <w:bookmarkStart w:colFirst="0" w:colLast="0" w:name="_7d70fjo94km2" w:id="1"/>
            <w:bookmarkEnd w:id="1"/>
            <w:r w:rsidDel="00000000" w:rsidR="00000000" w:rsidRPr="00000000">
              <w:rPr>
                <w:color w:val="333333"/>
                <w:sz w:val="20"/>
                <w:szCs w:val="20"/>
                <w:rtl w:val="0"/>
              </w:rPr>
              <w:t xml:space="preserve">Industrialización, urbanización y bienestar biológico en Cataluña, 1840-1935: una aproximación antropométrica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0">
              <w:r w:rsidDel="00000000" w:rsidR="00000000" w:rsidRPr="00000000">
                <w:rPr>
                  <w:color w:val="1155cc"/>
                  <w:sz w:val="20"/>
                  <w:szCs w:val="20"/>
                  <w:u w:val="single"/>
                  <w:rtl w:val="0"/>
                </w:rPr>
                <w:t xml:space="preserve">https://www.raco.cat/index.php/HistoriaIndustrial/article/view/244402</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 Religiosidad y mujeres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Style w:val="Heading2"/>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pacing w:after="160" w:before="0" w:line="335.99999999999994" w:lineRule="auto"/>
              <w:rPr>
                <w:sz w:val="20"/>
                <w:szCs w:val="20"/>
              </w:rPr>
            </w:pPr>
            <w:bookmarkStart w:colFirst="0" w:colLast="0" w:name="_gjgvxde5mtcq" w:id="2"/>
            <w:bookmarkEnd w:id="2"/>
            <w:r w:rsidDel="00000000" w:rsidR="00000000" w:rsidRPr="00000000">
              <w:rPr>
                <w:sz w:val="20"/>
                <w:szCs w:val="20"/>
                <w:rtl w:val="0"/>
              </w:rPr>
              <w:t xml:space="preserve">Mujeres, conventos y formas de religiosidad barroca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1">
              <w:r w:rsidDel="00000000" w:rsidR="00000000" w:rsidRPr="00000000">
                <w:rPr>
                  <w:color w:val="1155cc"/>
                  <w:sz w:val="20"/>
                  <w:szCs w:val="20"/>
                  <w:u w:val="single"/>
                  <w:rtl w:val="0"/>
                </w:rPr>
                <w:t xml:space="preserve">https://dialnet.unirioja.es/servlet/tesis?codigo=163175</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5.Competencias 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240" w:before="240" w:line="240" w:lineRule="auto"/>
              <w:rPr>
                <w:color w:val="7030a0"/>
                <w:sz w:val="20"/>
                <w:szCs w:val="20"/>
              </w:rPr>
            </w:pPr>
            <w:r w:rsidDel="00000000" w:rsidR="00000000" w:rsidRPr="00000000">
              <w:rPr>
                <w:color w:val="7030a0"/>
                <w:sz w:val="20"/>
                <w:szCs w:val="20"/>
                <w:rtl w:val="0"/>
              </w:rPr>
              <w:t xml:space="preserve">Las competencias TIC en Educación. Descripción de las competencias digitales en los alumnos de nuevo ingreso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2">
              <w:r w:rsidDel="00000000" w:rsidR="00000000" w:rsidRPr="00000000">
                <w:rPr>
                  <w:color w:val="1155cc"/>
                  <w:sz w:val="20"/>
                  <w:szCs w:val="20"/>
                  <w:u w:val="single"/>
                  <w:rtl w:val="0"/>
                </w:rPr>
                <w:t xml:space="preserve">Las competencias TIC en Educación. Descripción de las competencias digitales en los alumnos de nuevo ingreso</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 Políticas lingüísticas en frontera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after="240" w:before="240" w:line="240" w:lineRule="auto"/>
              <w:rPr>
                <w:color w:val="7030a0"/>
                <w:sz w:val="20"/>
                <w:szCs w:val="20"/>
              </w:rPr>
            </w:pPr>
            <w:r w:rsidDel="00000000" w:rsidR="00000000" w:rsidRPr="00000000">
              <w:rPr>
                <w:b w:val="1"/>
                <w:color w:val="7030a0"/>
                <w:sz w:val="20"/>
                <w:szCs w:val="20"/>
                <w:rtl w:val="0"/>
              </w:rPr>
              <w:t xml:space="preserve">Educación bilingüe de frontera y políticas lingüísticas en Uruguay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3">
              <w:r w:rsidDel="00000000" w:rsidR="00000000" w:rsidRPr="00000000">
                <w:rPr>
                  <w:color w:val="1155cc"/>
                  <w:sz w:val="20"/>
                  <w:szCs w:val="20"/>
                  <w:u w:val="single"/>
                  <w:rtl w:val="0"/>
                </w:rPr>
                <w:t xml:space="preserve">¿http://www.scielo.br/scielo.php?pid=S0103-73072010000300003&amp;script=sci_arttext&amp;tlng=es</w:t>
              </w:r>
            </w:hyperlink>
            <w:r w:rsidDel="00000000" w:rsidR="00000000" w:rsidRPr="00000000">
              <w:rPr>
                <w:rtl w:val="0"/>
              </w:rPr>
            </w:r>
          </w:p>
        </w:tc>
      </w:tr>
    </w:tbl>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b w:val="1"/>
          <w:rtl w:val="0"/>
        </w:rPr>
        <w:t xml:space="preserve">Ver hoja de respuestas</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jc w:val="both"/>
        <w:rPr>
          <w:b w:val="1"/>
          <w:sz w:val="24"/>
          <w:szCs w:val="24"/>
        </w:rPr>
      </w:pPr>
      <w:r w:rsidDel="00000000" w:rsidR="00000000" w:rsidRPr="00000000">
        <w:rPr>
          <w:b w:val="1"/>
          <w:sz w:val="24"/>
          <w:szCs w:val="24"/>
          <w:rtl w:val="0"/>
        </w:rPr>
        <w:t xml:space="preserve">Respuestas a tarea 3 </w:t>
      </w:r>
      <w:r w:rsidDel="00000000" w:rsidR="00000000" w:rsidRPr="00000000">
        <w:rPr>
          <w:b w:val="1"/>
          <w:sz w:val="24"/>
          <w:szCs w:val="24"/>
          <w:vertAlign w:val="superscript"/>
        </w:rPr>
        <w:footnoteReference w:customMarkFollows="0" w:id="0"/>
      </w:r>
      <w:r w:rsidDel="00000000" w:rsidR="00000000" w:rsidRPr="00000000">
        <w:rPr>
          <w:b w:val="1"/>
          <w:sz w:val="24"/>
          <w:szCs w:val="24"/>
          <w:rtl w:val="0"/>
        </w:rPr>
        <w:t xml:space="preserve">:</w:t>
      </w:r>
    </w:p>
    <w:p w:rsidR="00000000" w:rsidDel="00000000" w:rsidP="00000000" w:rsidRDefault="00000000" w:rsidRPr="00000000" w14:paraId="00000038">
      <w:pPr>
        <w:pageBreakBefore w:val="0"/>
        <w:jc w:val="both"/>
        <w:rPr/>
      </w:pPr>
      <w:r w:rsidDel="00000000" w:rsidR="00000000" w:rsidRPr="00000000">
        <w:rPr>
          <w:rtl w:val="0"/>
        </w:rPr>
      </w:r>
    </w:p>
    <w:p w:rsidR="00000000" w:rsidDel="00000000" w:rsidP="00000000" w:rsidRDefault="00000000" w:rsidRPr="00000000" w14:paraId="00000039">
      <w:pPr>
        <w:pageBreakBefore w:val="0"/>
        <w:jc w:val="both"/>
        <w:rPr>
          <w:b w:val="1"/>
          <w:sz w:val="20"/>
          <w:szCs w:val="20"/>
        </w:rPr>
      </w:pPr>
      <w:r w:rsidDel="00000000" w:rsidR="00000000" w:rsidRPr="00000000">
        <w:rPr>
          <w:b w:val="1"/>
          <w:sz w:val="20"/>
          <w:szCs w:val="20"/>
          <w:rtl w:val="0"/>
        </w:rPr>
        <w:t xml:space="preserve">1. Brecha digital y Plan ceibal: ¿CONTRIBUYE EL PLAN CEIBAL A CERRAR LA BRECHA DIGITAL EN URUGUAY? ALGUNOS INDICIOS</w:t>
      </w:r>
    </w:p>
    <w:p w:rsidR="00000000" w:rsidDel="00000000" w:rsidP="00000000" w:rsidRDefault="00000000" w:rsidRPr="00000000" w14:paraId="0000003A">
      <w:pPr>
        <w:pageBreakBefore w:val="0"/>
        <w:jc w:val="both"/>
        <w:rPr/>
      </w:pPr>
      <w:r w:rsidDel="00000000" w:rsidR="00000000" w:rsidRPr="00000000">
        <w:rPr>
          <w:rtl w:val="0"/>
        </w:rPr>
      </w:r>
    </w:p>
    <w:p w:rsidR="00000000" w:rsidDel="00000000" w:rsidP="00000000" w:rsidRDefault="00000000" w:rsidRPr="00000000" w14:paraId="0000003B">
      <w:pPr>
        <w:pageBreakBefore w:val="0"/>
        <w:jc w:val="both"/>
        <w:rPr>
          <w:rFonts w:ascii="Roboto" w:cs="Roboto" w:eastAsia="Roboto" w:hAnsi="Roboto"/>
          <w:sz w:val="23"/>
          <w:szCs w:val="23"/>
          <w:highlight w:val="white"/>
        </w:rPr>
      </w:pPr>
      <w:r w:rsidDel="00000000" w:rsidR="00000000" w:rsidRPr="00000000">
        <w:rPr>
          <w:rtl w:val="0"/>
        </w:rPr>
        <w:t xml:space="preserve">El estudio de Pittaluga, del año 2010.  tiene como</w:t>
      </w:r>
      <w:r w:rsidDel="00000000" w:rsidR="00000000" w:rsidRPr="00000000">
        <w:rPr>
          <w:b w:val="1"/>
          <w:rtl w:val="0"/>
        </w:rPr>
        <w:t xml:space="preserve"> objetivo contestar </w:t>
      </w:r>
      <w:r w:rsidDel="00000000" w:rsidR="00000000" w:rsidRPr="00000000">
        <w:rPr>
          <w:rFonts w:ascii="Roboto" w:cs="Roboto" w:eastAsia="Roboto" w:hAnsi="Roboto"/>
          <w:b w:val="1"/>
          <w:sz w:val="23"/>
          <w:szCs w:val="23"/>
          <w:highlight w:val="white"/>
          <w:rtl w:val="0"/>
        </w:rPr>
        <w:t xml:space="preserve">a la pregunta de si el Plan Ceibal contribuye a cerrar la brecha digital en Uruguay</w:t>
      </w:r>
      <w:r w:rsidDel="00000000" w:rsidR="00000000" w:rsidRPr="00000000">
        <w:rPr>
          <w:rFonts w:ascii="Roboto" w:cs="Roboto" w:eastAsia="Roboto" w:hAnsi="Roboto"/>
          <w:sz w:val="23"/>
          <w:szCs w:val="23"/>
          <w:highlight w:val="white"/>
          <w:rtl w:val="0"/>
        </w:rPr>
        <w:t xml:space="preserve">. En el resumen promete "se </w:t>
      </w:r>
      <w:r w:rsidDel="00000000" w:rsidR="00000000" w:rsidRPr="00000000">
        <w:rPr>
          <w:rFonts w:ascii="Roboto" w:cs="Roboto" w:eastAsia="Roboto" w:hAnsi="Roboto"/>
          <w:sz w:val="23"/>
          <w:szCs w:val="23"/>
          <w:highlight w:val="white"/>
          <w:rtl w:val="0"/>
        </w:rPr>
        <w:t xml:space="preserve">describirá</w:t>
      </w:r>
      <w:r w:rsidDel="00000000" w:rsidR="00000000" w:rsidRPr="00000000">
        <w:rPr>
          <w:rFonts w:ascii="Roboto" w:cs="Roboto" w:eastAsia="Roboto" w:hAnsi="Roboto"/>
          <w:sz w:val="23"/>
          <w:szCs w:val="23"/>
          <w:highlight w:val="white"/>
          <w:rtl w:val="0"/>
        </w:rPr>
        <w:t xml:space="preserve"> en qué está el Plan Ceibal al día de hoy, sus logros y problemas. Luego, se utilizarán los datos de la ECH para ir analizando las diversas dimensiones de la brecha digital". </w:t>
      </w:r>
    </w:p>
    <w:p w:rsidR="00000000" w:rsidDel="00000000" w:rsidP="00000000" w:rsidRDefault="00000000" w:rsidRPr="00000000" w14:paraId="0000003C">
      <w:pPr>
        <w:pageBreakBefore w:val="0"/>
        <w:jc w:val="both"/>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3D">
      <w:pPr>
        <w:pageBreakBefore w:val="0"/>
        <w:jc w:val="both"/>
        <w:rPr>
          <w:b w:val="1"/>
        </w:rPr>
      </w:pPr>
      <w:r w:rsidDel="00000000" w:rsidR="00000000" w:rsidRPr="00000000">
        <w:rPr>
          <w:rFonts w:ascii="Roboto" w:cs="Roboto" w:eastAsia="Roboto" w:hAnsi="Roboto"/>
          <w:sz w:val="23"/>
          <w:szCs w:val="23"/>
          <w:highlight w:val="white"/>
          <w:rtl w:val="0"/>
        </w:rPr>
        <w:t xml:space="preserve">Con estos elementos, ya podemos decir que </w:t>
      </w:r>
      <w:r w:rsidDel="00000000" w:rsidR="00000000" w:rsidRPr="00000000">
        <w:rPr>
          <w:rtl w:val="0"/>
        </w:rPr>
        <w:t xml:space="preserve">el estudio tiene una parte </w:t>
      </w:r>
      <w:r w:rsidDel="00000000" w:rsidR="00000000" w:rsidRPr="00000000">
        <w:rPr>
          <w:b w:val="1"/>
          <w:rtl w:val="0"/>
        </w:rPr>
        <w:t xml:space="preserve">descriptiva del estado actual de la política pública Plan ceibal "en qué está". Promete describir logros y problemas.</w:t>
      </w:r>
      <w:r w:rsidDel="00000000" w:rsidR="00000000" w:rsidRPr="00000000">
        <w:rPr>
          <w:rtl w:val="0"/>
        </w:rPr>
        <w:t xml:space="preserve"> Pero el estudio pretende además responder si dicha política contribuye a cerrar la brecha digital, por lo tanto establecerá que tan estrecha es la relación entre el plan y el efecto de cerrar la "brecha". En tal sentido es un estudio que requiere un diseño que </w:t>
      </w:r>
      <w:r w:rsidDel="00000000" w:rsidR="00000000" w:rsidRPr="00000000">
        <w:rPr>
          <w:b w:val="1"/>
          <w:rtl w:val="0"/>
        </w:rPr>
        <w:t xml:space="preserve">analice la relación de causalidad.</w:t>
      </w:r>
    </w:p>
    <w:p w:rsidR="00000000" w:rsidDel="00000000" w:rsidP="00000000" w:rsidRDefault="00000000" w:rsidRPr="00000000" w14:paraId="0000003E">
      <w:pPr>
        <w:pageBreakBefore w:val="0"/>
        <w:jc w:val="both"/>
        <w:rPr/>
      </w:pPr>
      <w:r w:rsidDel="00000000" w:rsidR="00000000" w:rsidRPr="00000000">
        <w:rPr>
          <w:rtl w:val="0"/>
        </w:rPr>
      </w:r>
    </w:p>
    <w:p w:rsidR="00000000" w:rsidDel="00000000" w:rsidP="00000000" w:rsidRDefault="00000000" w:rsidRPr="00000000" w14:paraId="0000003F">
      <w:pPr>
        <w:pageBreakBefore w:val="0"/>
        <w:jc w:val="both"/>
        <w:rPr/>
      </w:pPr>
      <w:r w:rsidDel="00000000" w:rsidR="00000000" w:rsidRPr="00000000">
        <w:rPr>
          <w:rtl w:val="0"/>
        </w:rPr>
        <w:t xml:space="preserve">Por otro lado, mirando el desarrollo del artículo, se observa que tiene además un componente de estudio </w:t>
      </w:r>
      <w:r w:rsidDel="00000000" w:rsidR="00000000" w:rsidRPr="00000000">
        <w:rPr>
          <w:b w:val="1"/>
          <w:rtl w:val="0"/>
        </w:rPr>
        <w:t xml:space="preserve">longitudinal</w:t>
      </w:r>
      <w:r w:rsidDel="00000000" w:rsidR="00000000" w:rsidRPr="00000000">
        <w:rPr>
          <w:rtl w:val="0"/>
        </w:rPr>
        <w:t xml:space="preserve">, ya que analiza la evolución del acceso de microcomputador en el hogar entre 2004 y 2009, por deciles de población, a partir de datos del INE. De este último aspecto, se deduce que se trata de una investigación que persigue una estrategia </w:t>
      </w:r>
      <w:r w:rsidDel="00000000" w:rsidR="00000000" w:rsidRPr="00000000">
        <w:rPr>
          <w:b w:val="1"/>
          <w:rtl w:val="0"/>
        </w:rPr>
        <w:t xml:space="preserve">cuantitativa</w:t>
      </w:r>
      <w:r w:rsidDel="00000000" w:rsidR="00000000" w:rsidRPr="00000000">
        <w:rPr>
          <w:rtl w:val="0"/>
        </w:rPr>
        <w:t xml:space="preserve"> de investigación y que utiliza el </w:t>
      </w:r>
      <w:r w:rsidDel="00000000" w:rsidR="00000000" w:rsidRPr="00000000">
        <w:rPr>
          <w:b w:val="1"/>
          <w:rtl w:val="0"/>
        </w:rPr>
        <w:t xml:space="preserve">procesamiento de datos</w:t>
      </w:r>
      <w:r w:rsidDel="00000000" w:rsidR="00000000" w:rsidRPr="00000000">
        <w:rPr>
          <w:rtl w:val="0"/>
        </w:rPr>
        <w:t xml:space="preserve"> de carácter cuantitativo como herramienta, principalmente, aquellos provenientes de la Encuesta Continua de Hogares del INE (también utiliza datos de encuestas de opinión pública).</w:t>
      </w:r>
    </w:p>
    <w:p w:rsidR="00000000" w:rsidDel="00000000" w:rsidP="00000000" w:rsidRDefault="00000000" w:rsidRPr="00000000" w14:paraId="00000040">
      <w:pPr>
        <w:pageBreakBefore w:val="0"/>
        <w:jc w:val="both"/>
        <w:rPr/>
      </w:pPr>
      <w:r w:rsidDel="00000000" w:rsidR="00000000" w:rsidRPr="00000000">
        <w:rPr>
          <w:rtl w:val="0"/>
        </w:rPr>
      </w:r>
    </w:p>
    <w:p w:rsidR="00000000" w:rsidDel="00000000" w:rsidP="00000000" w:rsidRDefault="00000000" w:rsidRPr="00000000" w14:paraId="00000041">
      <w:pPr>
        <w:pageBreakBefore w:val="0"/>
        <w:widowControl w:val="0"/>
        <w:spacing w:line="240" w:lineRule="auto"/>
        <w:jc w:val="both"/>
        <w:rPr>
          <w:b w:val="1"/>
        </w:rPr>
      </w:pPr>
      <w:r w:rsidDel="00000000" w:rsidR="00000000" w:rsidRPr="00000000">
        <w:rPr>
          <w:b w:val="1"/>
          <w:rtl w:val="0"/>
        </w:rPr>
        <w:t xml:space="preserve">2. Emprendedurismo en una localidad de Ecuador: </w:t>
      </w:r>
      <w:r w:rsidDel="00000000" w:rsidR="00000000" w:rsidRPr="00000000">
        <w:rPr>
          <w:b w:val="1"/>
          <w:rtl w:val="0"/>
        </w:rPr>
        <w:t xml:space="preserve">FACTORES QUE LIMITAN EL </w:t>
      </w:r>
      <w:r w:rsidDel="00000000" w:rsidR="00000000" w:rsidRPr="00000000">
        <w:rPr>
          <w:b w:val="1"/>
          <w:rtl w:val="0"/>
        </w:rPr>
        <w:t xml:space="preserve">EMPRENDEDURISMO EMPRESARIAL EN EL CANTÓN ESMERALDAS</w:t>
      </w:r>
    </w:p>
    <w:p w:rsidR="00000000" w:rsidDel="00000000" w:rsidP="00000000" w:rsidRDefault="00000000" w:rsidRPr="00000000" w14:paraId="00000042">
      <w:pPr>
        <w:pageBreakBefore w:val="0"/>
        <w:spacing w:after="240" w:before="240" w:line="276" w:lineRule="auto"/>
        <w:jc w:val="both"/>
        <w:rPr/>
      </w:pPr>
      <w:r w:rsidDel="00000000" w:rsidR="00000000" w:rsidRPr="00000000">
        <w:rPr>
          <w:rtl w:val="0"/>
        </w:rPr>
        <w:t xml:space="preserve">El artículo escrito por Harold Paúl Oyarvide Ramírez en 2013, tiene como objetivo </w:t>
      </w:r>
      <w:r w:rsidDel="00000000" w:rsidR="00000000" w:rsidRPr="00000000">
        <w:rPr>
          <w:b w:val="1"/>
          <w:rtl w:val="0"/>
        </w:rPr>
        <w:t xml:space="preserve">analizar los factores que limitan el emprendedurismo empresarial en el cantón Esmeraldas en el Ecuador</w:t>
      </w:r>
      <w:r w:rsidDel="00000000" w:rsidR="00000000" w:rsidRPr="00000000">
        <w:rPr>
          <w:rtl w:val="0"/>
        </w:rPr>
        <w:t xml:space="preserve">. El artículo presenta un </w:t>
      </w:r>
      <w:r w:rsidDel="00000000" w:rsidR="00000000" w:rsidRPr="00000000">
        <w:rPr>
          <w:b w:val="1"/>
          <w:rtl w:val="0"/>
        </w:rPr>
        <w:t xml:space="preserve">carácter descriptivo</w:t>
      </w:r>
      <w:r w:rsidDel="00000000" w:rsidR="00000000" w:rsidRPr="00000000">
        <w:rPr>
          <w:rtl w:val="0"/>
        </w:rPr>
        <w:t xml:space="preserve"> donde se menciona, la importancia de promover la cultura emprendedora en Ecuador, permitiendo fomentar el desarrollo económico-social de una localidad que es caracterizada por el alto crecimiento informal del trabajo, y elevados niveles del desempleo. Se describen los factores que limitan el emprendedurimo en relación a los actores y las instituciones involucradas.Por otro lado, el artículo presenta características de un </w:t>
      </w:r>
      <w:r w:rsidDel="00000000" w:rsidR="00000000" w:rsidRPr="00000000">
        <w:rPr>
          <w:b w:val="1"/>
          <w:rtl w:val="0"/>
        </w:rPr>
        <w:t xml:space="preserve">diseño no experimental</w:t>
      </w:r>
      <w:r w:rsidDel="00000000" w:rsidR="00000000" w:rsidRPr="00000000">
        <w:rPr>
          <w:rtl w:val="0"/>
        </w:rPr>
        <w:t xml:space="preserve">, dado que se realiza una observación de los fenómenos (emprendedores, empresas) en su ambiente natural. Por otra parte, podemos mencionar que se trata de un estudio de tipo </w:t>
      </w:r>
      <w:r w:rsidDel="00000000" w:rsidR="00000000" w:rsidRPr="00000000">
        <w:rPr>
          <w:b w:val="1"/>
          <w:rtl w:val="0"/>
        </w:rPr>
        <w:t xml:space="preserve">transeccional</w:t>
      </w:r>
      <w:r w:rsidDel="00000000" w:rsidR="00000000" w:rsidRPr="00000000">
        <w:rPr>
          <w:rtl w:val="0"/>
        </w:rPr>
        <w:t xml:space="preserve">, pues el tema es analizado en un determinado momento, un tiempo único; aunque el autor no especifica el año que realizó la investigación. En el cuerpo del texto, el autor indica que utiliza </w:t>
      </w:r>
      <w:r w:rsidDel="00000000" w:rsidR="00000000" w:rsidRPr="00000000">
        <w:rPr>
          <w:b w:val="1"/>
          <w:rtl w:val="0"/>
        </w:rPr>
        <w:t xml:space="preserve">técnicas de entrevistas y encuestas</w:t>
      </w:r>
      <w:r w:rsidDel="00000000" w:rsidR="00000000" w:rsidRPr="00000000">
        <w:rPr>
          <w:rtl w:val="0"/>
        </w:rPr>
        <w:t xml:space="preserve">, por lo que recurre a un </w:t>
      </w:r>
      <w:r w:rsidDel="00000000" w:rsidR="00000000" w:rsidRPr="00000000">
        <w:rPr>
          <w:b w:val="1"/>
          <w:rtl w:val="0"/>
        </w:rPr>
        <w:t xml:space="preserve">método de carácter mixto</w:t>
      </w:r>
      <w:r w:rsidDel="00000000" w:rsidR="00000000" w:rsidRPr="00000000">
        <w:rPr>
          <w:rtl w:val="0"/>
        </w:rPr>
        <w:t xml:space="preserve">, combinando estrategias cualitativas y cuantitativas de investigación.</w:t>
      </w:r>
    </w:p>
    <w:p w:rsidR="00000000" w:rsidDel="00000000" w:rsidP="00000000" w:rsidRDefault="00000000" w:rsidRPr="00000000" w14:paraId="00000043">
      <w:pPr>
        <w:pageBreakBefore w:val="0"/>
        <w:widowControl w:val="0"/>
        <w:spacing w:line="240" w:lineRule="auto"/>
        <w:jc w:val="both"/>
        <w:rPr>
          <w:b w:val="1"/>
        </w:rPr>
      </w:pPr>
      <w:r w:rsidDel="00000000" w:rsidR="00000000" w:rsidRPr="00000000">
        <w:rPr>
          <w:b w:val="1"/>
          <w:rtl w:val="0"/>
        </w:rPr>
        <w:t xml:space="preserve">3. Industrialización: </w:t>
      </w:r>
      <w:r w:rsidDel="00000000" w:rsidR="00000000" w:rsidRPr="00000000">
        <w:rPr>
          <w:b w:val="1"/>
          <w:rtl w:val="0"/>
        </w:rPr>
        <w:t xml:space="preserve">Industrialización, urbanización y bienestar biológico en Cataluña, 1840-1935: una aproximación antropométrica</w:t>
      </w:r>
      <w:r w:rsidDel="00000000" w:rsidR="00000000" w:rsidRPr="00000000">
        <w:rPr>
          <w:rtl w:val="0"/>
        </w:rPr>
      </w:r>
    </w:p>
    <w:p w:rsidR="00000000" w:rsidDel="00000000" w:rsidP="00000000" w:rsidRDefault="00000000" w:rsidRPr="00000000" w14:paraId="00000044">
      <w:pPr>
        <w:pageBreakBefore w:val="0"/>
        <w:jc w:val="both"/>
        <w:rPr>
          <w:b w:val="1"/>
        </w:rPr>
      </w:pPr>
      <w:r w:rsidDel="00000000" w:rsidR="00000000" w:rsidRPr="00000000">
        <w:rPr>
          <w:rtl w:val="0"/>
        </w:rPr>
      </w:r>
    </w:p>
    <w:p w:rsidR="00000000" w:rsidDel="00000000" w:rsidP="00000000" w:rsidRDefault="00000000" w:rsidRPr="00000000" w14:paraId="00000045">
      <w:pPr>
        <w:pageBreakBefore w:val="0"/>
        <w:jc w:val="both"/>
        <w:rPr/>
      </w:pPr>
      <w:r w:rsidDel="00000000" w:rsidR="00000000" w:rsidRPr="00000000">
        <w:rPr>
          <w:rtl w:val="0"/>
        </w:rPr>
        <w:t xml:space="preserve">La investigación de Ramon-Muñoz publicada en 2011 tiene como </w:t>
      </w:r>
      <w:r w:rsidDel="00000000" w:rsidR="00000000" w:rsidRPr="00000000">
        <w:rPr>
          <w:b w:val="1"/>
          <w:rtl w:val="0"/>
        </w:rPr>
        <w:t xml:space="preserve">objetivo analizar “</w:t>
      </w:r>
      <w:r w:rsidDel="00000000" w:rsidR="00000000" w:rsidRPr="00000000">
        <w:rPr>
          <w:b w:val="1"/>
          <w:rtl w:val="0"/>
        </w:rPr>
        <w:t xml:space="preserve">la evolución del nivel de vida biológico en Cataluña entre mediados del siglo XIX y principios del siglo XX”</w:t>
      </w:r>
      <w:r w:rsidDel="00000000" w:rsidR="00000000" w:rsidRPr="00000000">
        <w:rPr>
          <w:rtl w:val="0"/>
        </w:rPr>
        <w:t xml:space="preserve">. </w:t>
      </w:r>
    </w:p>
    <w:p w:rsidR="00000000" w:rsidDel="00000000" w:rsidP="00000000" w:rsidRDefault="00000000" w:rsidRPr="00000000" w14:paraId="00000046">
      <w:pPr>
        <w:pageBreakBefore w:val="0"/>
        <w:jc w:val="both"/>
        <w:rPr/>
      </w:pPr>
      <w:r w:rsidDel="00000000" w:rsidR="00000000" w:rsidRPr="00000000">
        <w:rPr>
          <w:rtl w:val="0"/>
        </w:rPr>
      </w:r>
    </w:p>
    <w:p w:rsidR="00000000" w:rsidDel="00000000" w:rsidP="00000000" w:rsidRDefault="00000000" w:rsidRPr="00000000" w14:paraId="00000047">
      <w:pPr>
        <w:pageBreakBefore w:val="0"/>
        <w:jc w:val="both"/>
        <w:rPr>
          <w:color w:val="333333"/>
          <w:sz w:val="21"/>
          <w:szCs w:val="21"/>
          <w:highlight w:val="white"/>
        </w:rPr>
      </w:pPr>
      <w:r w:rsidDel="00000000" w:rsidR="00000000" w:rsidRPr="00000000">
        <w:rPr>
          <w:rtl w:val="0"/>
        </w:rPr>
        <w:t xml:space="preserve">El resumen plantea que es estudio "</w:t>
      </w:r>
      <w:r w:rsidDel="00000000" w:rsidR="00000000" w:rsidRPr="00000000">
        <w:rPr>
          <w:i w:val="1"/>
          <w:color w:val="333333"/>
          <w:sz w:val="21"/>
          <w:szCs w:val="21"/>
          <w:highlight w:val="white"/>
          <w:rtl w:val="0"/>
        </w:rPr>
        <w:t xml:space="preserve">explora la posible incidencia de la industrialización y el desarrollo urbano moderno sobre el nivel de vida en una región que lideró el proceso de modernización y el cambio estructural de la economía española". </w:t>
      </w:r>
      <w:r w:rsidDel="00000000" w:rsidR="00000000" w:rsidRPr="00000000">
        <w:rPr>
          <w:color w:val="333333"/>
          <w:sz w:val="21"/>
          <w:szCs w:val="21"/>
          <w:highlight w:val="white"/>
          <w:rtl w:val="0"/>
        </w:rPr>
        <w:t xml:space="preserve">Esta forma de presentar el trabajo, utilizando la palabra "incidencia" de la industrialización sobre el nivel de vida biológico, plantea una relación entre variables, donde se pretende estudiar el efecto del desarrollo de la industria en lo que el autor denomina "nivel de vida biológico". Continuando la lectura del resumen, se observa que el concepto de "nivel de vida biológico" ha sido operacionalizado como "talla", es decir, altura de las personas, en cm. En tal sentido es un estudio antropométrico. El resultado diría que la altura ha disminuido en 2 cm, por lo tanto afirma la </w:t>
      </w:r>
      <w:r w:rsidDel="00000000" w:rsidR="00000000" w:rsidRPr="00000000">
        <w:rPr>
          <w:i w:val="1"/>
          <w:color w:val="333333"/>
          <w:sz w:val="21"/>
          <w:szCs w:val="21"/>
          <w:highlight w:val="white"/>
          <w:rtl w:val="0"/>
        </w:rPr>
        <w:t xml:space="preserve">"existencia de una crisis nutricional y el deterioro del bienestar biológico en las primeras fases de la industrialización catalana", como consecuencia.  </w:t>
      </w:r>
      <w:r w:rsidDel="00000000" w:rsidR="00000000" w:rsidRPr="00000000">
        <w:rPr>
          <w:color w:val="333333"/>
          <w:sz w:val="21"/>
          <w:szCs w:val="21"/>
          <w:highlight w:val="white"/>
          <w:rtl w:val="0"/>
        </w:rPr>
        <w:t xml:space="preserve">El estudio así planteado sería un estudio explicativo, ya que pretende explicar el deterioro del nivel de vida biológico a partir de que existió un proceso de industrialización que lo afectó.</w:t>
      </w:r>
    </w:p>
    <w:p w:rsidR="00000000" w:rsidDel="00000000" w:rsidP="00000000" w:rsidRDefault="00000000" w:rsidRPr="00000000" w14:paraId="00000048">
      <w:pPr>
        <w:pageBreakBefore w:val="0"/>
        <w:jc w:val="both"/>
        <w:rPr>
          <w:color w:val="333333"/>
          <w:sz w:val="21"/>
          <w:szCs w:val="21"/>
          <w:highlight w:val="white"/>
        </w:rPr>
      </w:pPr>
      <w:r w:rsidDel="00000000" w:rsidR="00000000" w:rsidRPr="00000000">
        <w:rPr>
          <w:rtl w:val="0"/>
        </w:rPr>
      </w:r>
    </w:p>
    <w:p w:rsidR="00000000" w:rsidDel="00000000" w:rsidP="00000000" w:rsidRDefault="00000000" w:rsidRPr="00000000" w14:paraId="00000049">
      <w:pPr>
        <w:pageBreakBefore w:val="0"/>
        <w:jc w:val="both"/>
        <w:rPr>
          <w:color w:val="333333"/>
          <w:sz w:val="21"/>
          <w:szCs w:val="21"/>
          <w:highlight w:val="white"/>
        </w:rPr>
      </w:pPr>
      <w:r w:rsidDel="00000000" w:rsidR="00000000" w:rsidRPr="00000000">
        <w:rPr>
          <w:color w:val="333333"/>
          <w:sz w:val="21"/>
          <w:szCs w:val="21"/>
          <w:highlight w:val="white"/>
          <w:rtl w:val="0"/>
        </w:rPr>
        <w:t xml:space="preserve">En cuanto al planteo anterior, se podría observar que la talla como única forma de operacionalizar del bienestar podría ser insuficiente, pero para fundamentar esa objeción se requiere más conocimiento del tema y la disciplina. </w:t>
      </w:r>
      <w:r w:rsidDel="00000000" w:rsidR="00000000" w:rsidRPr="00000000">
        <w:rPr>
          <w:rtl w:val="0"/>
        </w:rPr>
      </w:r>
    </w:p>
    <w:p w:rsidR="00000000" w:rsidDel="00000000" w:rsidP="00000000" w:rsidRDefault="00000000" w:rsidRPr="00000000" w14:paraId="0000004A">
      <w:pPr>
        <w:pageBreakBefore w:val="0"/>
        <w:jc w:val="both"/>
        <w:rPr>
          <w:color w:val="333333"/>
          <w:sz w:val="21"/>
          <w:szCs w:val="21"/>
          <w:highlight w:val="white"/>
        </w:rPr>
      </w:pPr>
      <w:r w:rsidDel="00000000" w:rsidR="00000000" w:rsidRPr="00000000">
        <w:rPr>
          <w:rtl w:val="0"/>
        </w:rPr>
      </w:r>
    </w:p>
    <w:p w:rsidR="00000000" w:rsidDel="00000000" w:rsidP="00000000" w:rsidRDefault="00000000" w:rsidRPr="00000000" w14:paraId="0000004B">
      <w:pPr>
        <w:pageBreakBefore w:val="0"/>
        <w:jc w:val="both"/>
        <w:rPr/>
      </w:pPr>
      <w:r w:rsidDel="00000000" w:rsidR="00000000" w:rsidRPr="00000000">
        <w:rPr>
          <w:b w:val="1"/>
          <w:color w:val="333333"/>
          <w:sz w:val="21"/>
          <w:szCs w:val="21"/>
          <w:highlight w:val="white"/>
          <w:rtl w:val="0"/>
        </w:rPr>
        <w:t xml:space="preserve">Más allá de lo que solicitaba la consigna de este trabajo, y por lo tanto no era un requisito del trabajo que lo </w:t>
      </w:r>
      <w:r w:rsidDel="00000000" w:rsidR="00000000" w:rsidRPr="00000000">
        <w:rPr>
          <w:b w:val="1"/>
          <w:color w:val="333333"/>
          <w:sz w:val="21"/>
          <w:szCs w:val="21"/>
          <w:highlight w:val="white"/>
          <w:rtl w:val="0"/>
        </w:rPr>
        <w:t xml:space="preserve">analizaran</w:t>
      </w:r>
      <w:r w:rsidDel="00000000" w:rsidR="00000000" w:rsidRPr="00000000">
        <w:rPr>
          <w:b w:val="1"/>
          <w:color w:val="333333"/>
          <w:sz w:val="21"/>
          <w:szCs w:val="21"/>
          <w:highlight w:val="white"/>
          <w:rtl w:val="0"/>
        </w:rPr>
        <w:t xml:space="preserve">,</w:t>
      </w:r>
      <w:r w:rsidDel="00000000" w:rsidR="00000000" w:rsidRPr="00000000">
        <w:rPr>
          <w:color w:val="333333"/>
          <w:sz w:val="21"/>
          <w:szCs w:val="21"/>
          <w:highlight w:val="white"/>
          <w:rtl w:val="0"/>
        </w:rPr>
        <w:t xml:space="preserve"> se podría hacer referencia a otro problema que se genera con este diseño. Se podría poner en duda aspectos de validez interna, ya que la talla puede haber variado por otros motivos, no solo la industrialización, podría variar por inmigración de población de menor talla, por ejemplo (control de otras variables que pueden interferir con el resultado). Para asegurar la validez de este diseño se debería analizar además, si se han logrado respetar la antecedencia temporal: </w:t>
      </w:r>
      <w:r w:rsidDel="00000000" w:rsidR="00000000" w:rsidRPr="00000000">
        <w:rPr>
          <w:color w:val="4d5156"/>
          <w:sz w:val="21"/>
          <w:szCs w:val="21"/>
          <w:highlight w:val="white"/>
          <w:rtl w:val="0"/>
        </w:rPr>
        <w:t xml:space="preserve">¿</w:t>
      </w:r>
      <w:r w:rsidDel="00000000" w:rsidR="00000000" w:rsidRPr="00000000">
        <w:rPr>
          <w:color w:val="333333"/>
          <w:sz w:val="21"/>
          <w:szCs w:val="21"/>
          <w:highlight w:val="white"/>
          <w:rtl w:val="0"/>
        </w:rPr>
        <w:t xml:space="preserve">Antes de la industrialización la talla siempre fue mayor?) También se debería analizar si hay asociación entre ambos eventos (talla disminuida e industrialización) en otros contextos sociales, no solo en Catalunya.</w:t>
      </w:r>
      <w:r w:rsidDel="00000000" w:rsidR="00000000" w:rsidRPr="00000000">
        <w:rPr>
          <w:rtl w:val="0"/>
        </w:rPr>
      </w:r>
    </w:p>
    <w:p w:rsidR="00000000" w:rsidDel="00000000" w:rsidP="00000000" w:rsidRDefault="00000000" w:rsidRPr="00000000" w14:paraId="0000004C">
      <w:pPr>
        <w:pageBreakBefore w:val="0"/>
        <w:jc w:val="both"/>
        <w:rPr/>
      </w:pPr>
      <w:r w:rsidDel="00000000" w:rsidR="00000000" w:rsidRPr="00000000">
        <w:rPr>
          <w:rtl w:val="0"/>
        </w:rPr>
      </w:r>
    </w:p>
    <w:p w:rsidR="00000000" w:rsidDel="00000000" w:rsidP="00000000" w:rsidRDefault="00000000" w:rsidRPr="00000000" w14:paraId="0000004D">
      <w:pPr>
        <w:pageBreakBefore w:val="0"/>
        <w:jc w:val="both"/>
        <w:rPr/>
      </w:pPr>
      <w:r w:rsidDel="00000000" w:rsidR="00000000" w:rsidRPr="00000000">
        <w:rPr>
          <w:rtl w:val="0"/>
        </w:rPr>
        <w:t xml:space="preserve">El estudio tienen además un componente de corte </w:t>
      </w:r>
      <w:r w:rsidDel="00000000" w:rsidR="00000000" w:rsidRPr="00000000">
        <w:rPr>
          <w:b w:val="1"/>
          <w:rtl w:val="0"/>
        </w:rPr>
        <w:t xml:space="preserve">descriptivo</w:t>
      </w:r>
      <w:r w:rsidDel="00000000" w:rsidR="00000000" w:rsidRPr="00000000">
        <w:rPr>
          <w:rtl w:val="0"/>
        </w:rPr>
        <w:t xml:space="preserve">, en la medida en que se muestran datos </w:t>
      </w:r>
      <w:r w:rsidDel="00000000" w:rsidR="00000000" w:rsidRPr="00000000">
        <w:rPr>
          <w:b w:val="1"/>
          <w:rtl w:val="0"/>
        </w:rPr>
        <w:t xml:space="preserve">cuantitativos </w:t>
      </w:r>
      <w:r w:rsidDel="00000000" w:rsidR="00000000" w:rsidRPr="00000000">
        <w:rPr>
          <w:rtl w:val="0"/>
        </w:rPr>
        <w:t xml:space="preserve">de talla de la población</w:t>
      </w:r>
      <w:r w:rsidDel="00000000" w:rsidR="00000000" w:rsidRPr="00000000">
        <w:rPr>
          <w:b w:val="1"/>
          <w:rtl w:val="0"/>
        </w:rPr>
        <w:t xml:space="preserve">. </w:t>
      </w:r>
      <w:r w:rsidDel="00000000" w:rsidR="00000000" w:rsidRPr="00000000">
        <w:rPr>
          <w:rtl w:val="0"/>
        </w:rPr>
        <w:t xml:space="preserve">Los </w:t>
      </w:r>
      <w:r w:rsidDel="00000000" w:rsidR="00000000" w:rsidRPr="00000000">
        <w:rPr>
          <w:b w:val="1"/>
          <w:rtl w:val="0"/>
        </w:rPr>
        <w:t xml:space="preserve">datos antropométricos</w:t>
      </w:r>
      <w:r w:rsidDel="00000000" w:rsidR="00000000" w:rsidRPr="00000000">
        <w:rPr>
          <w:rtl w:val="0"/>
        </w:rPr>
        <w:t xml:space="preserve"> se obtienen del </w:t>
      </w:r>
      <w:r w:rsidDel="00000000" w:rsidR="00000000" w:rsidRPr="00000000">
        <w:rPr>
          <w:b w:val="1"/>
          <w:rtl w:val="0"/>
        </w:rPr>
        <w:t xml:space="preserve">relevamiento</w:t>
      </w:r>
      <w:r w:rsidDel="00000000" w:rsidR="00000000" w:rsidRPr="00000000">
        <w:rPr>
          <w:rtl w:val="0"/>
        </w:rPr>
        <w:t xml:space="preserve"> de las </w:t>
      </w:r>
      <w:r w:rsidDel="00000000" w:rsidR="00000000" w:rsidRPr="00000000">
        <w:rPr>
          <w:i w:val="1"/>
          <w:rtl w:val="0"/>
        </w:rPr>
        <w:t xml:space="preserve">Actas de Clasificación y Declaración de Soldados</w:t>
      </w:r>
      <w:r w:rsidDel="00000000" w:rsidR="00000000" w:rsidRPr="00000000">
        <w:rPr>
          <w:rtl w:val="0"/>
        </w:rPr>
        <w:t xml:space="preserve"> según se señala en el cuerpo del texto. </w:t>
      </w:r>
    </w:p>
    <w:p w:rsidR="00000000" w:rsidDel="00000000" w:rsidP="00000000" w:rsidRDefault="00000000" w:rsidRPr="00000000" w14:paraId="0000004E">
      <w:pPr>
        <w:pageBreakBefore w:val="0"/>
        <w:jc w:val="both"/>
        <w:rPr/>
      </w:pPr>
      <w:r w:rsidDel="00000000" w:rsidR="00000000" w:rsidRPr="00000000">
        <w:rPr>
          <w:rtl w:val="0"/>
        </w:rPr>
      </w:r>
    </w:p>
    <w:p w:rsidR="00000000" w:rsidDel="00000000" w:rsidP="00000000" w:rsidRDefault="00000000" w:rsidRPr="00000000" w14:paraId="0000004F">
      <w:pPr>
        <w:pageBreakBefore w:val="0"/>
        <w:jc w:val="both"/>
        <w:rPr/>
      </w:pPr>
      <w:r w:rsidDel="00000000" w:rsidR="00000000" w:rsidRPr="00000000">
        <w:rPr>
          <w:rtl w:val="0"/>
        </w:rPr>
        <w:t xml:space="preserve">Asimismo, es un estudio de corte </w:t>
      </w:r>
      <w:r w:rsidDel="00000000" w:rsidR="00000000" w:rsidRPr="00000000">
        <w:rPr>
          <w:b w:val="1"/>
          <w:rtl w:val="0"/>
        </w:rPr>
        <w:t xml:space="preserve">longitudinal </w:t>
      </w:r>
      <w:r w:rsidDel="00000000" w:rsidR="00000000" w:rsidRPr="00000000">
        <w:rPr>
          <w:rtl w:val="0"/>
        </w:rPr>
        <w:t xml:space="preserve">en tanto se trata de una serie que involucra las tallas de soldados provenientes de un conjunto de Provincias Catalanas entre los años 1860 y 1935.</w:t>
      </w:r>
    </w:p>
    <w:p w:rsidR="00000000" w:rsidDel="00000000" w:rsidP="00000000" w:rsidRDefault="00000000" w:rsidRPr="00000000" w14:paraId="00000050">
      <w:pPr>
        <w:pageBreakBefore w:val="0"/>
        <w:jc w:val="both"/>
        <w:rPr/>
      </w:pPr>
      <w:r w:rsidDel="00000000" w:rsidR="00000000" w:rsidRPr="00000000">
        <w:rPr>
          <w:rtl w:val="0"/>
        </w:rPr>
      </w:r>
    </w:p>
    <w:p w:rsidR="00000000" w:rsidDel="00000000" w:rsidP="00000000" w:rsidRDefault="00000000" w:rsidRPr="00000000" w14:paraId="00000051">
      <w:pPr>
        <w:pageBreakBefore w:val="0"/>
        <w:widowControl w:val="0"/>
        <w:spacing w:line="240" w:lineRule="auto"/>
        <w:jc w:val="both"/>
        <w:rPr>
          <w:b w:val="1"/>
        </w:rPr>
      </w:pPr>
      <w:r w:rsidDel="00000000" w:rsidR="00000000" w:rsidRPr="00000000">
        <w:rPr>
          <w:b w:val="1"/>
          <w:rtl w:val="0"/>
        </w:rPr>
        <w:t xml:space="preserve">4. Religiosidad y mujeres: Mujeres, conventos y formas de religiosidad barroca</w:t>
      </w:r>
    </w:p>
    <w:p w:rsidR="00000000" w:rsidDel="00000000" w:rsidP="00000000" w:rsidRDefault="00000000" w:rsidRPr="00000000" w14:paraId="00000052">
      <w:pPr>
        <w:pageBreakBefore w:val="0"/>
        <w:widowControl w:val="0"/>
        <w:spacing w:before="240" w:line="276" w:lineRule="auto"/>
        <w:jc w:val="both"/>
        <w:rPr/>
      </w:pPr>
      <w:r w:rsidDel="00000000" w:rsidR="00000000" w:rsidRPr="00000000">
        <w:rPr>
          <w:rtl w:val="0"/>
        </w:rPr>
        <w:t xml:space="preserve">Esta publicación, escrita por José Luis Sánchez Lora, tiene como objetivo </w:t>
      </w:r>
      <w:r w:rsidDel="00000000" w:rsidR="00000000" w:rsidRPr="00000000">
        <w:rPr>
          <w:b w:val="1"/>
          <w:rtl w:val="0"/>
        </w:rPr>
        <w:t xml:space="preserve">mostrar cómo ha sido la historia de las mentalidades colectivas, especialmente las mentalidades y actitudes religiosas en España en el siglo XVII</w:t>
      </w:r>
      <w:r w:rsidDel="00000000" w:rsidR="00000000" w:rsidRPr="00000000">
        <w:rPr>
          <w:rtl w:val="0"/>
        </w:rPr>
        <w:t xml:space="preserve">. Para ello, se recurre a un estudio historiográfico de alcance </w:t>
      </w:r>
      <w:r w:rsidDel="00000000" w:rsidR="00000000" w:rsidRPr="00000000">
        <w:rPr>
          <w:b w:val="1"/>
          <w:rtl w:val="0"/>
        </w:rPr>
        <w:t xml:space="preserve">descriptivo</w:t>
      </w:r>
      <w:r w:rsidDel="00000000" w:rsidR="00000000" w:rsidRPr="00000000">
        <w:rPr>
          <w:rtl w:val="0"/>
        </w:rPr>
        <w:t xml:space="preserve">, permitiendo hacer mención de cómo se vivió esa  realidad social, donde  había un gran protagonismo e involucramiento femenino. A su vez, es una investigación que presenta características de </w:t>
      </w:r>
      <w:r w:rsidDel="00000000" w:rsidR="00000000" w:rsidRPr="00000000">
        <w:rPr>
          <w:b w:val="1"/>
          <w:rtl w:val="0"/>
        </w:rPr>
        <w:t xml:space="preserve">diseño no experimental</w:t>
      </w:r>
      <w:r w:rsidDel="00000000" w:rsidR="00000000" w:rsidRPr="00000000">
        <w:rPr>
          <w:rtl w:val="0"/>
        </w:rPr>
        <w:t xml:space="preserve">, en el que los fenómenos (las mujeres religiosas y las iglesias) son analizadas en su ambiente natural. Se trata de un estudio de corte </w:t>
      </w:r>
      <w:r w:rsidDel="00000000" w:rsidR="00000000" w:rsidRPr="00000000">
        <w:rPr>
          <w:b w:val="1"/>
          <w:rtl w:val="0"/>
        </w:rPr>
        <w:t xml:space="preserve">cualitativo</w:t>
      </w:r>
      <w:r w:rsidDel="00000000" w:rsidR="00000000" w:rsidRPr="00000000">
        <w:rPr>
          <w:rtl w:val="0"/>
        </w:rPr>
        <w:t xml:space="preserve"> (impresiona, recurre al análisis documental) y presenta una delimitación temporal de corte </w:t>
      </w:r>
      <w:r w:rsidDel="00000000" w:rsidR="00000000" w:rsidRPr="00000000">
        <w:rPr>
          <w:b w:val="1"/>
          <w:rtl w:val="0"/>
        </w:rPr>
        <w:t xml:space="preserve">longitudinal</w:t>
      </w:r>
      <w:r w:rsidDel="00000000" w:rsidR="00000000" w:rsidRPr="00000000">
        <w:rPr>
          <w:rtl w:val="0"/>
        </w:rPr>
        <w:t xml:space="preserve">, dado que se analiza un período de tiempo, en este caso, el siglo XVII.</w:t>
      </w:r>
    </w:p>
    <w:p w:rsidR="00000000" w:rsidDel="00000000" w:rsidP="00000000" w:rsidRDefault="00000000" w:rsidRPr="00000000" w14:paraId="00000053">
      <w:pPr>
        <w:pageBreakBefore w:val="0"/>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4">
      <w:pPr>
        <w:pageBreakBefore w:val="0"/>
        <w:widowControl w:val="0"/>
        <w:spacing w:line="240" w:lineRule="auto"/>
        <w:jc w:val="both"/>
        <w:rPr>
          <w:b w:val="1"/>
        </w:rPr>
      </w:pPr>
      <w:r w:rsidDel="00000000" w:rsidR="00000000" w:rsidRPr="00000000">
        <w:rPr>
          <w:b w:val="1"/>
          <w:rtl w:val="0"/>
        </w:rPr>
        <w:t xml:space="preserve">5.Competencias TIC: </w:t>
      </w:r>
      <w:r w:rsidDel="00000000" w:rsidR="00000000" w:rsidRPr="00000000">
        <w:rPr>
          <w:b w:val="1"/>
          <w:rtl w:val="0"/>
        </w:rPr>
        <w:t xml:space="preserve">Las competencias TIC en Educación. Descripción de las competencias digitales en los alumnos de nuevo ingreso</w:t>
      </w:r>
    </w:p>
    <w:p w:rsidR="00000000" w:rsidDel="00000000" w:rsidP="00000000" w:rsidRDefault="00000000" w:rsidRPr="00000000" w14:paraId="00000055">
      <w:pPr>
        <w:pageBreakBefore w:val="0"/>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6">
      <w:pPr>
        <w:pageBreakBefore w:val="0"/>
        <w:widowControl w:val="0"/>
        <w:spacing w:line="276" w:lineRule="auto"/>
        <w:jc w:val="both"/>
        <w:rPr>
          <w:sz w:val="20"/>
          <w:szCs w:val="20"/>
        </w:rPr>
      </w:pPr>
      <w:r w:rsidDel="00000000" w:rsidR="00000000" w:rsidRPr="00000000">
        <w:rPr>
          <w:highlight w:val="white"/>
          <w:rtl w:val="0"/>
        </w:rPr>
        <w:t xml:space="preserve">Este estudio realizado por varios autores en 2017, tiene </w:t>
      </w:r>
      <w:r w:rsidDel="00000000" w:rsidR="00000000" w:rsidRPr="00000000">
        <w:rPr>
          <w:b w:val="1"/>
          <w:highlight w:val="white"/>
          <w:rtl w:val="0"/>
        </w:rPr>
        <w:t xml:space="preserve">como objetivo </w:t>
      </w:r>
      <w:r w:rsidDel="00000000" w:rsidR="00000000" w:rsidRPr="00000000">
        <w:rPr>
          <w:b w:val="1"/>
          <w:highlight w:val="white"/>
          <w:rtl w:val="0"/>
        </w:rPr>
        <w:t xml:space="preserve">“d</w:t>
      </w:r>
      <w:r w:rsidDel="00000000" w:rsidR="00000000" w:rsidRPr="00000000">
        <w:rPr>
          <w:b w:val="1"/>
          <w:highlight w:val="white"/>
          <w:rtl w:val="0"/>
        </w:rPr>
        <w:t xml:space="preserve">escribir, identificar y analizar las competencias digitales con las que contaban los alumnos de nuevo ingreso y con ello se diseñaron y conformaron las estrategias necesarias para desarrollarlas</w:t>
      </w:r>
      <w:r w:rsidDel="00000000" w:rsidR="00000000" w:rsidRPr="00000000">
        <w:rPr>
          <w:b w:val="1"/>
          <w:highlight w:val="white"/>
          <w:rtl w:val="0"/>
        </w:rPr>
        <w:t xml:space="preserve">”</w:t>
      </w:r>
      <w:r w:rsidDel="00000000" w:rsidR="00000000" w:rsidRPr="00000000">
        <w:rPr>
          <w:highlight w:val="white"/>
          <w:rtl w:val="0"/>
        </w:rPr>
        <w:t xml:space="preserve">. Además, los autores señalan explícitamente en el resumen que se trata de una investigación que parte </w:t>
      </w:r>
      <w:r w:rsidDel="00000000" w:rsidR="00000000" w:rsidRPr="00000000">
        <w:rPr>
          <w:b w:val="1"/>
          <w:highlight w:val="white"/>
          <w:rtl w:val="0"/>
        </w:rPr>
        <w:t xml:space="preserve">“de un enfoque cuantitativo, con un alcance descriptivo, no experimental, longitudinal de tendencia”</w:t>
      </w:r>
      <w:r w:rsidDel="00000000" w:rsidR="00000000" w:rsidRPr="00000000">
        <w:rPr>
          <w:highlight w:val="white"/>
          <w:rtl w:val="0"/>
        </w:rPr>
        <w:t xml:space="preserve"> y que utiliza un “instrumento tipo </w:t>
      </w:r>
      <w:r w:rsidDel="00000000" w:rsidR="00000000" w:rsidRPr="00000000">
        <w:rPr>
          <w:b w:val="1"/>
          <w:highlight w:val="white"/>
          <w:rtl w:val="0"/>
        </w:rPr>
        <w:t xml:space="preserve">cuestionario/encuesta</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57">
      <w:pPr>
        <w:pageBreakBefore w:val="0"/>
        <w:widowControl w:val="0"/>
        <w:spacing w:line="240" w:lineRule="auto"/>
        <w:jc w:val="both"/>
        <w:rPr>
          <w:b w:val="1"/>
          <w:color w:val="7030a0"/>
          <w:sz w:val="20"/>
          <w:szCs w:val="20"/>
        </w:rPr>
      </w:pPr>
      <w:r w:rsidDel="00000000" w:rsidR="00000000" w:rsidRPr="00000000">
        <w:rPr>
          <w:rtl w:val="0"/>
        </w:rPr>
      </w:r>
    </w:p>
    <w:p w:rsidR="00000000" w:rsidDel="00000000" w:rsidP="00000000" w:rsidRDefault="00000000" w:rsidRPr="00000000" w14:paraId="00000058">
      <w:pPr>
        <w:pageBreakBefore w:val="0"/>
        <w:widowControl w:val="0"/>
        <w:spacing w:line="240" w:lineRule="auto"/>
        <w:jc w:val="both"/>
        <w:rPr>
          <w:b w:val="1"/>
        </w:rPr>
      </w:pPr>
      <w:r w:rsidDel="00000000" w:rsidR="00000000" w:rsidRPr="00000000">
        <w:rPr>
          <w:b w:val="1"/>
          <w:rtl w:val="0"/>
        </w:rPr>
        <w:t xml:space="preserve">6. Políticas lingüísticas en frontera: Educación bilingüe de frontera y políticas lingüísticas en Uruguay</w:t>
      </w:r>
    </w:p>
    <w:p w:rsidR="00000000" w:rsidDel="00000000" w:rsidP="00000000" w:rsidRDefault="00000000" w:rsidRPr="00000000" w14:paraId="00000059">
      <w:pPr>
        <w:pageBreakBefore w:val="0"/>
        <w:widowControl w:val="0"/>
        <w:spacing w:before="240" w:line="276" w:lineRule="auto"/>
        <w:jc w:val="both"/>
        <w:rPr>
          <w:highlight w:val="white"/>
        </w:rPr>
      </w:pPr>
      <w:r w:rsidDel="00000000" w:rsidR="00000000" w:rsidRPr="00000000">
        <w:rPr>
          <w:highlight w:val="white"/>
          <w:rtl w:val="0"/>
        </w:rPr>
        <w:t xml:space="preserve">El presente artículo escrito por Claudia Brovetto en 2010, tiene por objetivo </w:t>
      </w:r>
      <w:r w:rsidDel="00000000" w:rsidR="00000000" w:rsidRPr="00000000">
        <w:rPr>
          <w:b w:val="1"/>
          <w:highlight w:val="white"/>
          <w:rtl w:val="0"/>
        </w:rPr>
        <w:t xml:space="preserve">analizar la historia y el presente de la educación fronteriza en relación a la reciente aprobación de documentos de alcance nacional con carácter de actos de políticas lingüístico-educativas</w:t>
      </w:r>
      <w:r w:rsidDel="00000000" w:rsidR="00000000" w:rsidRPr="00000000">
        <w:rPr>
          <w:highlight w:val="white"/>
          <w:rtl w:val="0"/>
        </w:rPr>
        <w:t xml:space="preserve">. El artículo de acuerdo a sus objetivos presenta un </w:t>
      </w:r>
      <w:r w:rsidDel="00000000" w:rsidR="00000000" w:rsidRPr="00000000">
        <w:rPr>
          <w:b w:val="1"/>
          <w:highlight w:val="white"/>
          <w:rtl w:val="0"/>
        </w:rPr>
        <w:t xml:space="preserve">alcance descriptivo</w:t>
      </w:r>
      <w:r w:rsidDel="00000000" w:rsidR="00000000" w:rsidRPr="00000000">
        <w:rPr>
          <w:highlight w:val="white"/>
          <w:rtl w:val="0"/>
        </w:rPr>
        <w:t xml:space="preserve">, se hace una composición histórico-lingüística de la frontera y las intervenciones del sistema educativo en la Región Noreste; también se describe los programas de lengua vigentes y estudios que evalúan el impacto de los mismos en torno a aprendizajes. Por otra parte, presenta una estrategia de investigación </w:t>
      </w:r>
      <w:r w:rsidDel="00000000" w:rsidR="00000000" w:rsidRPr="00000000">
        <w:rPr>
          <w:b w:val="1"/>
          <w:highlight w:val="white"/>
          <w:rtl w:val="0"/>
        </w:rPr>
        <w:t xml:space="preserve">cualitativa</w:t>
      </w:r>
      <w:r w:rsidDel="00000000" w:rsidR="00000000" w:rsidRPr="00000000">
        <w:rPr>
          <w:highlight w:val="white"/>
          <w:rtl w:val="0"/>
        </w:rPr>
        <w:t xml:space="preserve"> donde menciona las características de la frontera, y las complejidades que se tiene sobre el lenguaje binacional español-portugués especialmente en los niveles de Inicial y Primaria, así como también realiza una somera descripción de programas y políticas, por lo que se emplea el </w:t>
      </w:r>
      <w:r w:rsidDel="00000000" w:rsidR="00000000" w:rsidRPr="00000000">
        <w:rPr>
          <w:b w:val="1"/>
          <w:highlight w:val="white"/>
          <w:rtl w:val="0"/>
        </w:rPr>
        <w:t xml:space="preserve">análisis documental</w:t>
      </w:r>
      <w:r w:rsidDel="00000000" w:rsidR="00000000" w:rsidRPr="00000000">
        <w:rPr>
          <w:highlight w:val="white"/>
          <w:rtl w:val="0"/>
        </w:rPr>
        <w:t xml:space="preserve"> como técnica de investigación. Se deduce que se trata de un </w:t>
      </w:r>
      <w:r w:rsidDel="00000000" w:rsidR="00000000" w:rsidRPr="00000000">
        <w:rPr>
          <w:b w:val="1"/>
          <w:highlight w:val="white"/>
          <w:rtl w:val="0"/>
        </w:rPr>
        <w:t xml:space="preserve">diseño no experimental</w:t>
      </w:r>
      <w:r w:rsidDel="00000000" w:rsidR="00000000" w:rsidRPr="00000000">
        <w:rPr>
          <w:highlight w:val="white"/>
          <w:rtl w:val="0"/>
        </w:rPr>
        <w:t xml:space="preserve">, en el que los fenómenos que se analizan están en su ambiente natural, en base a un proceso que se está dando eventualmente. </w:t>
      </w:r>
    </w:p>
    <w:p w:rsidR="00000000" w:rsidDel="00000000" w:rsidP="00000000" w:rsidRDefault="00000000" w:rsidRPr="00000000" w14:paraId="0000005A">
      <w:pPr>
        <w:pageBreakBefore w:val="0"/>
        <w:widowControl w:val="0"/>
        <w:spacing w:before="240" w:line="276" w:lineRule="auto"/>
        <w:jc w:val="both"/>
        <w:rPr>
          <w:highlight w:val="white"/>
        </w:rPr>
      </w:pPr>
      <w:r w:rsidDel="00000000" w:rsidR="00000000" w:rsidRPr="00000000">
        <w:rPr>
          <w:rtl w:val="0"/>
        </w:rPr>
      </w:r>
    </w:p>
    <w:p w:rsidR="00000000" w:rsidDel="00000000" w:rsidP="00000000" w:rsidRDefault="00000000" w:rsidRPr="00000000" w14:paraId="0000005B">
      <w:pPr>
        <w:pageBreakBefore w:val="0"/>
        <w:widowControl w:val="0"/>
        <w:spacing w:before="240" w:line="276" w:lineRule="auto"/>
        <w:jc w:val="both"/>
        <w:rPr>
          <w:color w:val="7030a0"/>
          <w:sz w:val="20"/>
          <w:szCs w:val="20"/>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hira gonzalez bruzzese" w:id="0" w:date="2023-05-15T14:10:40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disminuir??</w:t>
      </w:r>
    </w:p>
  </w:comment>
  <w:comment w:author="Mariana Porta" w:id="1" w:date="2023-05-15T14:22:01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me acuerdo cómo está planteado en el artículo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Las siguientes respuestas no son de carácter definitiva o con valor verdadero, sino que son meramente orientadoras. En cada práctico pueden haberse concluido respuestas diferentes en función de los criterios y reflexiones adoptados en el intercambio entre docente y estudiantes.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alnet.unirioja.es/servlet/tesis?codigo=163175" TargetMode="External"/><Relationship Id="rId10" Type="http://schemas.openxmlformats.org/officeDocument/2006/relationships/hyperlink" Target="https://www.raco.cat/index.php/HistoriaIndustrial/article/view/244402" TargetMode="External"/><Relationship Id="rId13" Type="http://schemas.openxmlformats.org/officeDocument/2006/relationships/hyperlink" Target="http://www.scielo.br/scielo.php?pid=S0103-73072010000300003&amp;script=sci_arttext&amp;tlng=es" TargetMode="External"/><Relationship Id="rId12" Type="http://schemas.openxmlformats.org/officeDocument/2006/relationships/hyperlink" Target="http://www.ctes.org.mx/index.php/ctes/article/view/658"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revistasdigitales.utelvt.edu.ec/revista/index.php/investigacion_y_saberes/article/view/100" TargetMode="External"/><Relationship Id="rId1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digital.fundacionceibal.edu.uy/jspui/handle/123456789/16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