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80"/>
        <w:jc w:val="left"/>
        <w:rPr>
          <w:rFonts w:ascii="Arial" w:cs="Arial" w:hAnsi="Arial"/>
          <w:b w:val="false"/>
          <w:sz w:val="32"/>
          <w:szCs w:val="24"/>
          <w:lang w:eastAsia="es-UY" w:val="es-ES"/>
        </w:rPr>
      </w:pPr>
      <w:r>
        <w:rPr>
          <w:rFonts w:ascii="Arial" w:cs="Arial" w:hAnsi="Arial"/>
          <w:b w:val="false"/>
          <w:sz w:val="32"/>
          <w:szCs w:val="24"/>
          <w:lang w:eastAsia="es-UY" w:val="es-ES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360045</wp:posOffset>
            </wp:positionH>
            <wp:positionV relativeFrom="paragraph">
              <wp:posOffset>-457835</wp:posOffset>
            </wp:positionV>
            <wp:extent cx="530860" cy="798195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1" simplePos="0">
            <wp:simplePos x="0" y="0"/>
            <wp:positionH relativeFrom="column">
              <wp:posOffset>5420360</wp:posOffset>
            </wp:positionH>
            <wp:positionV relativeFrom="paragraph">
              <wp:posOffset>-462915</wp:posOffset>
            </wp:positionV>
            <wp:extent cx="551180" cy="912495"/>
            <wp:effectExtent b="0" l="0" r="0" t="0"/>
            <wp:wrapSquare wrapText="bothSides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</w:r>
    </w:p>
    <w:p>
      <w:pPr>
        <w:pStyle w:val="style0"/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</w:r>
    </w:p>
    <w:p>
      <w:pPr>
        <w:pStyle w:val="style0"/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FORMULARIO DE PROPUESTA DE CURSO</w:t>
      </w:r>
    </w:p>
    <w:p>
      <w:pPr>
        <w:pStyle w:val="style0"/>
        <w:jc w:val="center"/>
        <w:rPr>
          <w:i/>
          <w:lang w:val="es-MX"/>
        </w:rPr>
      </w:pPr>
      <w:r>
        <w:rPr>
          <w:i/>
          <w:lang w:val="es-MX"/>
        </w:rPr>
      </w:r>
    </w:p>
    <w:p>
      <w:pPr>
        <w:pStyle w:val="style0"/>
        <w:rPr>
          <w:i/>
          <w:sz w:val="22"/>
          <w:szCs w:val="22"/>
          <w:lang w:val="es-MX"/>
        </w:rPr>
      </w:pPr>
      <w:r>
        <w:rPr>
          <w:i/>
          <w:lang w:val="es-MX"/>
        </w:rPr>
        <w:t>El objetivo de este formulario es facilitar a los docentes la operativa de propuesta de cursos, y coordinar su  oferta dentro del Centro Universitario de la Región Este (CURE)</w:t>
      </w:r>
      <w:r>
        <w:rPr>
          <w:i/>
          <w:sz w:val="22"/>
          <w:szCs w:val="22"/>
          <w:lang w:val="es-MX"/>
        </w:rPr>
        <w:t xml:space="preserve">. </w:t>
      </w:r>
    </w:p>
    <w:p>
      <w:pPr>
        <w:pStyle w:val="style0"/>
        <w:rPr>
          <w:i/>
          <w:lang w:val="es-MX"/>
        </w:rPr>
      </w:pPr>
      <w:r>
        <w:rPr>
          <w:i/>
          <w:lang w:val="es-MX"/>
        </w:rPr>
      </w:r>
    </w:p>
    <w:p>
      <w:pPr>
        <w:pStyle w:val="style0"/>
        <w:numPr>
          <w:ilvl w:val="0"/>
          <w:numId w:val="3"/>
        </w:num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Datos generales del curso</w:t>
      </w:r>
    </w:p>
    <w:p>
      <w:pPr>
        <w:pStyle w:val="style0"/>
        <w:ind w:hanging="0" w:left="720" w:right="0"/>
        <w:rPr>
          <w:lang w:val="es-MX"/>
        </w:rPr>
      </w:pPr>
      <w:r>
        <w:rPr>
          <w:lang w:val="es-MX"/>
        </w:rPr>
      </w:r>
    </w:p>
    <w:p>
      <w:pPr>
        <w:pStyle w:val="style0"/>
        <w:rPr>
          <w:i/>
          <w:sz w:val="22"/>
          <w:szCs w:val="22"/>
          <w:lang w:val="es-MX"/>
        </w:rPr>
      </w:pPr>
      <w:r>
        <w:rPr>
          <w:i/>
          <w:sz w:val="22"/>
          <w:szCs w:val="22"/>
          <w:lang w:val="es-MX"/>
        </w:rPr>
        <w:t xml:space="preserve">Por favor indique el Programa al que pertenece </w:t>
      </w:r>
      <w:r>
        <w:rPr>
          <w:b/>
          <w:i/>
          <w:sz w:val="22"/>
          <w:szCs w:val="22"/>
          <w:lang w:val="es-MX"/>
        </w:rPr>
        <w:t>prioritariamente</w:t>
      </w:r>
      <w:r>
        <w:rPr>
          <w:i/>
          <w:sz w:val="22"/>
          <w:szCs w:val="22"/>
          <w:lang w:val="es-MX"/>
        </w:rPr>
        <w:t xml:space="preserve"> el curso y los cupos para estudiantes de diferente programa</w:t>
      </w:r>
      <w:r>
        <w:rPr>
          <w:rStyle w:val="style69"/>
          <w:i/>
          <w:sz w:val="22"/>
          <w:szCs w:val="22"/>
          <w:lang w:val="es-MX"/>
        </w:rPr>
        <w:footnoteReference w:id="2"/>
      </w:r>
      <w:r>
        <w:rPr>
          <w:i/>
          <w:sz w:val="22"/>
          <w:szCs w:val="22"/>
          <w:lang w:val="es-MX"/>
        </w:rPr>
        <w:t>/ Planes de estudio:</w:t>
      </w:r>
    </w:p>
    <w:p>
      <w:pPr>
        <w:pStyle w:val="style0"/>
        <w:rPr>
          <w:lang w:val="es-MX"/>
        </w:rPr>
      </w:pPr>
      <w:r>
        <w:rPr>
          <w:lang w:val="es-MX"/>
        </w:rPr>
      </w:r>
    </w:p>
    <w:tbl>
      <w:tblPr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696"/>
        <w:gridCol w:w="2014"/>
        <w:gridCol w:w="2629"/>
        <w:gridCol w:w="2414"/>
      </w:tblGrid>
      <w:tr>
        <w:trPr>
          <w:cantSplit w:val="false"/>
        </w:trPr>
        <w:tc>
          <w:tcPr>
            <w:tcW w:type="dxa" w:w="2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Modulo</w:t>
            </w:r>
          </w:p>
        </w:tc>
        <w:tc>
          <w:tcPr>
            <w:tcW w:type="dxa" w:w="20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Asignatura</w:t>
            </w:r>
          </w:p>
        </w:tc>
        <w:tc>
          <w:tcPr>
            <w:tcW w:type="dxa" w:w="26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Marque el programa/servicio/s al que el curso pertenece:</w:t>
            </w:r>
          </w:p>
        </w:tc>
        <w:tc>
          <w:tcPr>
            <w:tcW w:type="dxa" w:w="24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Cupos para estudiantes de cada programa:</w:t>
            </w:r>
          </w:p>
        </w:tc>
      </w:tr>
      <w:tr>
        <w:trPr>
          <w:cantSplit w:val="false"/>
        </w:trPr>
        <w:tc>
          <w:tcPr>
            <w:tcW w:type="dxa" w:w="2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0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t>PSICOLOGÍA SOCIAL</w:t>
            </w:r>
          </w:p>
        </w:tc>
        <w:tc>
          <w:tcPr>
            <w:tcW w:type="dxa" w:w="26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Módulo Psicología del Ciclo de Formación Integral (PELP 2013).</w:t>
            </w:r>
          </w:p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Lic. Psicología. Facultad Psicología</w:t>
            </w:r>
          </w:p>
        </w:tc>
        <w:tc>
          <w:tcPr>
            <w:tcW w:type="dxa" w:w="24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2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0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right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6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jc w:val="right"/>
              <w:rPr>
                <w:lang w:val="es-MX"/>
              </w:rPr>
            </w:pPr>
            <w:r>
              <w:rPr>
                <w:lang w:val="es-MX"/>
              </w:rPr>
              <w:t>Cupo Total</w:t>
            </w:r>
          </w:p>
        </w:tc>
        <w:tc>
          <w:tcPr>
            <w:tcW w:type="dxa" w:w="24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---------</w:t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203"/>
        <w:gridCol w:w="412"/>
        <w:gridCol w:w="2882"/>
      </w:tblGrid>
      <w:tr>
        <w:trPr>
          <w:cantSplit w:val="false"/>
        </w:trPr>
        <w:tc>
          <w:tcPr>
            <w:tcW w:type="dxa" w:w="620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 xml:space="preserve">Modalidad del Curso: </w:t>
              <w:tab/>
            </w:r>
          </w:p>
        </w:tc>
        <w:tc>
          <w:tcPr>
            <w:tcW w:type="dxa" w:w="4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type="dxa" w:w="28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 xml:space="preserve">Presencial </w:t>
            </w:r>
          </w:p>
        </w:tc>
      </w:tr>
      <w:tr>
        <w:trPr>
          <w:cantSplit w:val="false"/>
        </w:trPr>
        <w:tc>
          <w:tcPr>
            <w:tcW w:type="dxa" w:w="620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</w:r>
          </w:p>
        </w:tc>
        <w:tc>
          <w:tcPr>
            <w:tcW w:type="dxa" w:w="4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8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Semi Presencial</w:t>
            </w:r>
          </w:p>
        </w:tc>
      </w:tr>
      <w:tr>
        <w:trPr>
          <w:cantSplit w:val="false"/>
        </w:trPr>
        <w:tc>
          <w:tcPr>
            <w:tcW w:type="dxa" w:w="620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</w:r>
          </w:p>
        </w:tc>
        <w:tc>
          <w:tcPr>
            <w:tcW w:type="dxa" w:w="4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8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  <w:t>A Distancia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i/>
          <w:sz w:val="22"/>
          <w:szCs w:val="22"/>
          <w:lang w:val="es-MX"/>
        </w:rPr>
      </w:pPr>
      <w:r>
        <w:rPr>
          <w:i/>
          <w:sz w:val="22"/>
          <w:szCs w:val="22"/>
          <w:lang w:val="es-MX"/>
        </w:rPr>
        <w:t>Tipo de  curso:</w:t>
      </w:r>
    </w:p>
    <w:p>
      <w:pPr>
        <w:pStyle w:val="style0"/>
        <w:numPr>
          <w:ilvl w:val="0"/>
          <w:numId w:val="2"/>
        </w:numPr>
        <w:rPr>
          <w:lang w:val="es-MX"/>
        </w:rPr>
      </w:pPr>
      <w:r>
        <w:rPr>
          <w:lang w:val="es-MX"/>
        </w:rPr>
        <w:t>Curso optativo: CIO Social 2015</w:t>
      </w:r>
    </w:p>
    <w:p>
      <w:pPr>
        <w:pStyle w:val="style0"/>
        <w:numPr>
          <w:ilvl w:val="0"/>
          <w:numId w:val="2"/>
        </w:numPr>
        <w:rPr>
          <w:lang w:val="es-MX"/>
        </w:rPr>
      </w:pPr>
      <w:r>
        <w:rPr>
          <w:lang w:val="es-MX"/>
        </w:rPr>
        <w:t>Curso de Créditos obligatorios para: Unidad Curricular Obligatoria Psicología Social - 3er. Sem. del Plan de Estudios 2013 de la Lic. en Psicología – Facultad Psicología</w:t>
      </w:r>
    </w:p>
    <w:p>
      <w:pPr>
        <w:pStyle w:val="style0"/>
        <w:rPr>
          <w:lang w:val="es-MX"/>
        </w:rPr>
      </w:pPr>
      <w:r>
        <w:rPr>
          <w:lang w:val="es-MX"/>
        </w:rPr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1451"/>
        <w:gridCol w:w="8045"/>
      </w:tblGrid>
      <w:tr>
        <w:trPr>
          <w:cantSplit w:val="false"/>
        </w:trPr>
        <w:tc>
          <w:tcPr>
            <w:tcW w:type="dxa" w:w="14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</w:r>
          </w:p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SERVICIO :</w:t>
            </w:r>
          </w:p>
        </w:tc>
        <w:tc>
          <w:tcPr>
            <w:tcW w:type="dxa" w:w="80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Universidad de la República – CURE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9496"/>
      </w:tblGrid>
      <w:tr>
        <w:trPr>
          <w:cantSplit w:val="false"/>
        </w:trPr>
        <w:tc>
          <w:tcPr>
            <w:tcW w:type="dxa" w:w="949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333399" w:val="clear"/>
            <w:tcMar>
              <w:left w:type="dxa" w:w="65"/>
            </w:tcMar>
          </w:tcPr>
          <w:p>
            <w:pPr>
              <w:pStyle w:val="style1"/>
              <w:numPr>
                <w:ilvl w:val="0"/>
                <w:numId w:val="1"/>
              </w:numPr>
              <w:jc w:val="center"/>
              <w:rPr>
                <w:b w:val="false"/>
                <w:color w:val="FFFFFF"/>
              </w:rPr>
            </w:pPr>
            <w:r>
              <w:rPr>
                <w:b w:val="false"/>
                <w:color w:val="FFFFFF"/>
              </w:rPr>
              <w:t>(nombre de la carrera)</w:t>
            </w:r>
          </w:p>
          <w:p>
            <w:pPr>
              <w:pStyle w:val="style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type="dxa" w:w="16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Modulo :</w:t>
            </w:r>
          </w:p>
        </w:tc>
        <w:tc>
          <w:tcPr>
            <w:tcW w:type="dxa" w:w="78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2831"/>
        <w:gridCol w:w="6665"/>
      </w:tblGrid>
      <w:tr>
        <w:trPr>
          <w:cantSplit w:val="false"/>
        </w:trPr>
        <w:tc>
          <w:tcPr>
            <w:tcW w:type="dxa" w:w="283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NOMBRE DEL CURSO :</w:t>
            </w:r>
          </w:p>
        </w:tc>
        <w:tc>
          <w:tcPr>
            <w:tcW w:type="dxa" w:w="66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jc w:val="center"/>
              <w:rPr/>
            </w:pPr>
            <w:r>
              <w:rPr/>
              <w:t>Psicología Social</w:t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3109"/>
        <w:gridCol w:w="6387"/>
      </w:tblGrid>
      <w:tr>
        <w:trPr>
          <w:cantSplit w:val="false"/>
        </w:trPr>
        <w:tc>
          <w:tcPr>
            <w:tcW w:type="dxa" w:w="31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 xml:space="preserve">PALABRAS CLAVES (3): </w:t>
            </w:r>
          </w:p>
        </w:tc>
        <w:tc>
          <w:tcPr>
            <w:tcW w:type="dxa" w:w="638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1"/>
              <w:numPr>
                <w:ilvl w:val="0"/>
                <w:numId w:val="1"/>
              </w:numPr>
              <w:rPr/>
            </w:pPr>
            <w:r>
              <w:rPr/>
              <w:t>Psicología social, procesos colectivos, subjetividad</w:t>
            </w:r>
          </w:p>
          <w:p>
            <w:pPr>
              <w:pStyle w:val="style1"/>
              <w:numPr>
                <w:ilvl w:val="0"/>
                <w:numId w:val="1"/>
              </w:numPr>
              <w:rPr>
                <w:rFonts w:cs="Arial" w:eastAsia="Arial"/>
              </w:rPr>
            </w:pPr>
            <w:r>
              <w:rPr>
                <w:rFonts w:cs="Arial" w:eastAsia="Arial"/>
              </w:rPr>
              <w:t xml:space="preserve"> </w:t>
            </w:r>
          </w:p>
        </w:tc>
      </w:tr>
    </w:tbl>
    <w:p>
      <w:pPr>
        <w:pStyle w:val="style0"/>
        <w:rPr>
          <w:lang w:val="es-MX"/>
        </w:rPr>
      </w:pPr>
      <w:r>
        <w:rPr>
          <w:lang w:val="es-MX"/>
        </w:rPr>
      </w:r>
    </w:p>
    <w:p>
      <w:pPr>
        <w:pStyle w:val="style0"/>
        <w:pageBreakBefore/>
        <w:numPr>
          <w:ilvl w:val="0"/>
          <w:numId w:val="4"/>
        </w:numPr>
        <w:suppressAutoHyphens w:val="false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Equipo docente</w:t>
      </w:r>
    </w:p>
    <w:p>
      <w:pPr>
        <w:pStyle w:val="style0"/>
        <w:ind w:hanging="0" w:left="720" w:right="0"/>
        <w:rPr>
          <w:b/>
          <w:lang w:val="es-MX"/>
        </w:rPr>
      </w:pPr>
      <w:r>
        <w:rPr>
          <w:b/>
          <w:lang w:val="es-MX"/>
        </w:rPr>
      </w:r>
    </w:p>
    <w:p>
      <w:pPr>
        <w:pStyle w:val="style0"/>
        <w:rPr>
          <w:i/>
          <w:sz w:val="22"/>
          <w:szCs w:val="22"/>
          <w:lang w:val="es-MX"/>
        </w:rPr>
      </w:pPr>
      <w:r>
        <w:rPr>
          <w:i/>
          <w:sz w:val="22"/>
          <w:szCs w:val="22"/>
          <w:lang w:val="es-MX"/>
        </w:rPr>
        <w:t>Para todos los docentes por favor incluir el título académico (p.ej., Ing. Agr., M.Sc., Ph.D) delante del nombre. En cargo especificar grado docente,dedicación horaria global semanal y dedicación horaria en el curso.</w:t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2683"/>
        <w:gridCol w:w="6814"/>
      </w:tblGrid>
      <w:tr>
        <w:trPr>
          <w:cantSplit w:val="false"/>
        </w:trPr>
        <w:tc>
          <w:tcPr>
            <w:tcW w:type="dxa" w:w="2683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Docentes Responsables :</w:t>
            </w:r>
          </w:p>
        </w:tc>
        <w:tc>
          <w:tcPr>
            <w:tcW w:type="dxa" w:w="6814"/>
            <w:gridSpan w:val="4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</w:t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 </w:t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    </w:t>
            </w:r>
          </w:p>
        </w:tc>
      </w:tr>
      <w:tr>
        <w:trPr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Prof. Adj. Mag. Gabriela Etcheverry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Gr. 3, 40 hs./ 10 hs</w:t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Prof. Mag. Joaquín Marqués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Gr. 5, 40 hs. /10 hs.</w:t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trHeight w:hRule="atLeast" w:val="295"/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Prof. Adj. Mag. Nelson De León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Gr. 3, 30 hs. /10 hs</w:t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Prof. Adj. Mag. María Ana Folle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Gr.3, 40 hs. / 10 hs.</w:t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n-US"/>
              </w:rPr>
            </w:pPr>
            <w:r>
              <w:rPr>
                <w:lang w:val="en-US"/>
              </w:rPr>
              <w:t>Prof. Adj. Mag. Jorge Maceiras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Gr. 3, 30 hs. / 10 hs.</w:t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Prof. Ag. Mag. Alicia Rodríguez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Gr. 4, DT / 10 hs.</w:t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Prof. Ag. Mag. Tommy Wittke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  <w:t>Gr. 4, 10 hs. / 8 hs.</w:t>
            </w:r>
          </w:p>
        </w:tc>
        <w:tc>
          <w:tcPr>
            <w:tcW w:type="dxa" w:w="527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5567"/>
        <w:gridCol w:w="3929"/>
      </w:tblGrid>
      <w:tr>
        <w:trPr>
          <w:cantSplit w:val="false"/>
        </w:trPr>
        <w:tc>
          <w:tcPr>
            <w:tcW w:type="dxa" w:w="55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Docentes Participantes:</w:t>
            </w:r>
          </w:p>
        </w:tc>
        <w:tc>
          <w:tcPr>
            <w:tcW w:type="dxa" w:w="3929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1375"/>
        <w:gridCol w:w="4192"/>
        <w:gridCol w:w="1047"/>
        <w:gridCol w:w="2357"/>
        <w:gridCol w:w="526"/>
      </w:tblGrid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</w:t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       </w:t>
            </w:r>
          </w:p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 </w:t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</w:t>
            </w:r>
          </w:p>
          <w:p>
            <w:pPr>
              <w:pStyle w:val="style0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   </w:t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/>
            </w:pPr>
            <w:r>
              <w:rPr/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41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5567"/>
        <w:gridCol w:w="3929"/>
      </w:tblGrid>
      <w:tr>
        <w:trPr>
          <w:cantSplit w:val="false"/>
        </w:trPr>
        <w:tc>
          <w:tcPr>
            <w:tcW w:type="dxa" w:w="55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Especialistas invitados :</w:t>
            </w:r>
          </w:p>
        </w:tc>
        <w:tc>
          <w:tcPr>
            <w:tcW w:type="dxa" w:w="3929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1375"/>
        <w:gridCol w:w="4192"/>
        <w:gridCol w:w="1047"/>
        <w:gridCol w:w="2357"/>
        <w:gridCol w:w="526"/>
      </w:tblGrid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</w:t>
            </w:r>
          </w:p>
        </w:tc>
        <w:tc>
          <w:tcPr>
            <w:tcW w:type="dxa" w:w="4192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</w:t>
            </w:r>
          </w:p>
          <w:p>
            <w:pPr>
              <w:pStyle w:val="style0"/>
              <w:ind w:hanging="0" w:left="0" w:right="195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                                                   </w:t>
            </w:r>
          </w:p>
        </w:tc>
        <w:tc>
          <w:tcPr>
            <w:tcW w:type="dxa" w:w="1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 </w:t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    </w:t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Institución</w:t>
            </w:r>
          </w:p>
        </w:tc>
        <w:tc>
          <w:tcPr>
            <w:tcW w:type="dxa" w:w="30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22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rFonts w:cs="Arial" w:eastAsia="Arial"/>
                <w:b/>
                <w:lang w:val="es-MX"/>
              </w:rPr>
              <w:t xml:space="preserve">  </w:t>
            </w:r>
            <w:r>
              <w:rPr>
                <w:b/>
                <w:lang w:val="es-MX"/>
              </w:rPr>
              <w:t>Especialización</w:t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/>
            </w:pPr>
            <w:r>
              <w:rPr/>
            </w:r>
          </w:p>
        </w:tc>
        <w:tc>
          <w:tcPr>
            <w:tcW w:type="dxa" w:w="30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/>
            </w:pPr>
            <w:r>
              <w:rPr/>
            </w:r>
          </w:p>
        </w:tc>
        <w:tc>
          <w:tcPr>
            <w:tcW w:type="dxa" w:w="222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</w:r>
          </w:p>
        </w:tc>
        <w:tc>
          <w:tcPr>
            <w:tcW w:type="dxa" w:w="30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22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3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</w:r>
          </w:p>
        </w:tc>
        <w:tc>
          <w:tcPr>
            <w:tcW w:type="dxa" w:w="30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22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23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26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5567"/>
        <w:gridCol w:w="3929"/>
      </w:tblGrid>
      <w:tr>
        <w:trPr>
          <w:cantSplit w:val="false"/>
        </w:trPr>
        <w:tc>
          <w:tcPr>
            <w:tcW w:type="dxa" w:w="55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Docentes Extranjeros :</w:t>
            </w:r>
          </w:p>
        </w:tc>
        <w:tc>
          <w:tcPr>
            <w:tcW w:type="dxa" w:w="3929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8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-5"/>
          <w:bottom w:type="dxa" w:w="0"/>
          <w:right w:type="dxa" w:w="0"/>
        </w:tblCellMar>
      </w:tblPr>
      <w:tblGrid>
        <w:gridCol w:w="1318"/>
        <w:gridCol w:w="4018"/>
        <w:gridCol w:w="1004"/>
        <w:gridCol w:w="2259"/>
        <w:gridCol w:w="501"/>
        <w:gridCol w:w="396"/>
      </w:tblGrid>
      <w:tr>
        <w:trPr>
          <w:cantSplit w:val="false"/>
        </w:trPr>
        <w:tc>
          <w:tcPr>
            <w:tcW w:type="dxa" w:w="13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type="dxa" w:w="4018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/>
            </w:pPr>
            <w:r>
              <w:rPr/>
            </w:r>
          </w:p>
        </w:tc>
        <w:tc>
          <w:tcPr>
            <w:tcW w:type="dxa" w:w="10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 </w:t>
            </w:r>
          </w:p>
        </w:tc>
        <w:tc>
          <w:tcPr>
            <w:tcW w:type="dxa" w:w="22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501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    </w:t>
            </w:r>
          </w:p>
        </w:tc>
        <w:tc>
          <w:tcPr>
            <w:tcW w:type="dxa" w:w="396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1820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País de origen</w:t>
            </w:r>
          </w:p>
        </w:tc>
        <w:tc>
          <w:tcPr>
            <w:tcW w:type="dxa" w:w="238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</w:t>
            </w:r>
          </w:p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2135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b/>
                <w:lang w:val="es-MX"/>
              </w:rPr>
            </w:pPr>
            <w:r>
              <w:rPr>
                <w:rFonts w:cs="Arial" w:eastAsia="Arial"/>
                <w:b/>
                <w:lang w:val="es-MX"/>
              </w:rPr>
              <w:t xml:space="preserve">  </w:t>
            </w:r>
            <w:r>
              <w:rPr>
                <w:b/>
                <w:lang w:val="es-MX"/>
              </w:rPr>
              <w:t>Especialización</w:t>
            </w:r>
          </w:p>
        </w:tc>
        <w:tc>
          <w:tcPr>
            <w:tcW w:type="dxa" w:w="22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501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type="dxa" w:w="395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true"/>
        </w:trPr>
        <w:tc>
          <w:tcPr>
            <w:tcW w:type="dxa" w:w="2699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Institución o Universidad</w:t>
            </w:r>
          </w:p>
        </w:tc>
        <w:tc>
          <w:tcPr>
            <w:tcW w:type="dxa" w:w="5901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ind w:hanging="0" w:left="0" w:right="195"/>
              <w:rPr>
                <w:b/>
                <w:lang w:val="en-GB"/>
              </w:rPr>
            </w:pPr>
            <w:r>
              <w:rPr>
                <w:b/>
                <w:lang w:val="en-GB"/>
              </w:rPr>
            </w:r>
          </w:p>
          <w:p>
            <w:pPr>
              <w:pStyle w:val="style0"/>
              <w:ind w:hanging="0" w:left="0" w:right="195"/>
              <w:rPr>
                <w:b/>
                <w:lang w:val="en-GB"/>
              </w:rPr>
            </w:pPr>
            <w:r>
              <w:rPr>
                <w:b/>
                <w:lang w:val="en-GB"/>
              </w:rPr>
            </w:r>
          </w:p>
        </w:tc>
        <w:tc>
          <w:tcPr>
            <w:tcW w:type="dxa" w:w="896"/>
            <w:gridSpan w:val="2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numPr>
          <w:ilvl w:val="0"/>
          <w:numId w:val="3"/>
        </w:num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Programa del curso</w:t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9497"/>
      </w:tblGrid>
      <w:tr>
        <w:trPr>
          <w:cantSplit w:val="tru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color w:val="FFFFFF"/>
                <w:sz w:val="20"/>
                <w:shd w:fill="000080" w:val="clear"/>
                <w:lang w:val="es-MX"/>
              </w:rPr>
            </w:pPr>
            <w:r>
              <w:rPr>
                <w:b/>
                <w:color w:val="FFFFFF"/>
                <w:shd w:fill="000080" w:val="clear"/>
                <w:lang w:val="es-MX"/>
              </w:rPr>
              <w:t>OBJETIVOS:</w:t>
            </w:r>
            <w:r>
              <w:rPr>
                <w:color w:val="FFFFFF"/>
                <w:shd w:fill="000080" w:val="clear"/>
                <w:lang w:val="es-MX"/>
              </w:rPr>
              <w:t xml:space="preserve">                                               </w:t>
            </w:r>
            <w:r>
              <w:rPr>
                <w:color w:val="FFFFFF"/>
                <w:sz w:val="20"/>
                <w:shd w:fill="000080" w:val="clear"/>
                <w:lang w:val="es-MX"/>
              </w:rPr>
              <w:t>(Indique brevemente los objetivos principales del curso)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suppressAutoHyphens w:val="false"/>
              <w:rPr>
                <w:rFonts w:cs="Arial"/>
                <w:b/>
                <w:bCs/>
                <w:color w:val="333333"/>
                <w:lang w:eastAsia="es-UY" w:val="es-UY"/>
              </w:rPr>
            </w:pPr>
            <w:r>
              <w:rPr>
                <w:rFonts w:cs="Arial"/>
                <w:b/>
                <w:bCs/>
                <w:color w:val="333333"/>
                <w:lang w:eastAsia="es-UY" w:val="es-UY"/>
              </w:rPr>
              <w:t>Objetivos formativos:</w:t>
            </w:r>
          </w:p>
          <w:p>
            <w:pPr>
              <w:pStyle w:val="style0"/>
              <w:suppressAutoHyphens w:val="false"/>
              <w:rPr>
                <w:rFonts w:cs="Arial"/>
                <w:color w:val="000000"/>
                <w:lang w:eastAsia="es-UY" w:val="es-UY"/>
              </w:rPr>
            </w:pPr>
            <w:r>
              <w:rPr>
                <w:rFonts w:cs="Arial"/>
                <w:color w:val="000000"/>
                <w:lang w:eastAsia="es-UY" w:val="es-UY"/>
              </w:rPr>
              <w:t xml:space="preserve">• </w:t>
            </w:r>
            <w:r>
              <w:rPr>
                <w:rFonts w:cs="Arial"/>
                <w:color w:val="000000"/>
                <w:lang w:eastAsia="es-UY" w:val="es-UY"/>
              </w:rPr>
              <w:t>Incorporar conocimientos sobre el desarrollo histórico y la constitución de la psicología social como campo de conocimientos.</w:t>
            </w:r>
          </w:p>
          <w:p>
            <w:pPr>
              <w:pStyle w:val="style0"/>
              <w:suppressAutoHyphens w:val="false"/>
              <w:rPr>
                <w:rFonts w:cs="Arial"/>
                <w:color w:val="000000"/>
                <w:lang w:eastAsia="es-UY" w:val="es-UY"/>
              </w:rPr>
            </w:pPr>
            <w:r>
              <w:rPr>
                <w:rFonts w:cs="Arial"/>
                <w:color w:val="000000"/>
                <w:lang w:eastAsia="es-UY" w:val="es-UY"/>
              </w:rPr>
              <w:t xml:space="preserve">• </w:t>
            </w:r>
            <w:r>
              <w:rPr>
                <w:rFonts w:cs="Arial"/>
                <w:color w:val="000000"/>
                <w:lang w:eastAsia="es-UY" w:val="es-UY"/>
              </w:rPr>
              <w:t>Apropiarse de conocimientos de la psicología social en la comprensión de los procesos colectivos, desde una perspectiva crítica.</w:t>
            </w:r>
          </w:p>
          <w:p>
            <w:pPr>
              <w:pStyle w:val="style0"/>
              <w:suppressAutoHyphens w:val="false"/>
              <w:rPr>
                <w:rFonts w:cs="Arial"/>
                <w:color w:val="000000"/>
                <w:lang w:eastAsia="es-UY" w:val="es-UY"/>
              </w:rPr>
            </w:pPr>
            <w:r>
              <w:rPr>
                <w:rFonts w:cs="Arial"/>
                <w:color w:val="000000"/>
                <w:lang w:eastAsia="es-UY" w:val="es-UY"/>
              </w:rPr>
              <w:t xml:space="preserve">• </w:t>
            </w:r>
            <w:r>
              <w:rPr>
                <w:rFonts w:cs="Arial"/>
                <w:color w:val="000000"/>
                <w:lang w:eastAsia="es-UY" w:val="es-UY"/>
              </w:rPr>
              <w:t>Aproximarse a los principales desarrollos en psicología social.</w:t>
            </w:r>
          </w:p>
          <w:p>
            <w:pPr>
              <w:pStyle w:val="style0"/>
              <w:suppressAutoHyphens w:val="false"/>
              <w:rPr>
                <w:rFonts w:cs="Arial"/>
                <w:color w:val="000000"/>
                <w:lang w:eastAsia="es-UY" w:val="es-UY"/>
              </w:rPr>
            </w:pPr>
            <w:r>
              <w:rPr>
                <w:rFonts w:cs="Arial"/>
                <w:color w:val="000000"/>
                <w:lang w:eastAsia="es-UY" w:val="es-UY"/>
              </w:rPr>
              <w:t xml:space="preserve">• </w:t>
            </w:r>
            <w:r>
              <w:rPr>
                <w:rFonts w:cs="Arial"/>
                <w:color w:val="000000"/>
                <w:lang w:eastAsia="es-UY" w:val="es-UY"/>
              </w:rPr>
              <w:t>Acceder a la comprensión de los componentes teórico–técnicos básicos de psicología social.</w:t>
            </w:r>
          </w:p>
          <w:p>
            <w:pPr>
              <w:pStyle w:val="style0"/>
              <w:suppressAutoHyphens w:val="false"/>
              <w:rPr>
                <w:rFonts w:cs="Arial"/>
                <w:b/>
                <w:bCs/>
                <w:color w:val="333333"/>
                <w:lang w:eastAsia="es-UY" w:val="es-UY"/>
              </w:rPr>
            </w:pPr>
            <w:r>
              <w:rPr>
                <w:rFonts w:cs="Arial"/>
                <w:b/>
                <w:bCs/>
                <w:color w:val="333333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cs="Arial"/>
                <w:b/>
                <w:bCs/>
                <w:color w:val="333333"/>
                <w:lang w:eastAsia="es-UY" w:val="es-UY"/>
              </w:rPr>
            </w:pPr>
            <w:r>
              <w:rPr>
                <w:rFonts w:cs="Arial"/>
                <w:b/>
                <w:bCs/>
                <w:color w:val="333333"/>
                <w:lang w:eastAsia="es-UY" w:val="es-UY"/>
              </w:rPr>
              <w:t>Se espera que al finalizar el curso el estudiante sea capaz de:</w:t>
            </w:r>
          </w:p>
          <w:p>
            <w:pPr>
              <w:pStyle w:val="style0"/>
              <w:suppressAutoHyphens w:val="false"/>
              <w:rPr>
                <w:rFonts w:cs="Arial"/>
                <w:color w:val="000000"/>
                <w:lang w:eastAsia="es-UY" w:val="es-UY"/>
              </w:rPr>
            </w:pPr>
            <w:r>
              <w:rPr>
                <w:rFonts w:cs="Arial"/>
                <w:color w:val="000000"/>
                <w:lang w:eastAsia="es-UY" w:val="es-UY"/>
              </w:rPr>
              <w:t xml:space="preserve">• </w:t>
            </w:r>
            <w:r>
              <w:rPr>
                <w:rFonts w:cs="Arial"/>
                <w:color w:val="000000"/>
                <w:lang w:eastAsia="es-UY" w:val="es-UY"/>
              </w:rPr>
              <w:t>Comprender los procesos psicológicos que se desarrollan en las formaciones sociales.</w:t>
            </w:r>
          </w:p>
          <w:p>
            <w:pPr>
              <w:pStyle w:val="style0"/>
              <w:suppressAutoHyphens w:val="false"/>
              <w:rPr>
                <w:rFonts w:cs="Arial"/>
                <w:color w:val="000000"/>
                <w:lang w:eastAsia="es-UY" w:val="es-UY"/>
              </w:rPr>
            </w:pPr>
            <w:r>
              <w:rPr>
                <w:rFonts w:cs="Arial"/>
                <w:color w:val="000000"/>
                <w:lang w:eastAsia="es-UY" w:val="es-UY"/>
              </w:rPr>
              <w:t xml:space="preserve">• </w:t>
            </w:r>
            <w:r>
              <w:rPr>
                <w:rFonts w:cs="Arial"/>
                <w:color w:val="000000"/>
                <w:lang w:eastAsia="es-UY" w:val="es-UY"/>
              </w:rPr>
              <w:t>Incorporar elementos de análisis y crítica de los procesos de producción de subjetividad.</w:t>
            </w:r>
          </w:p>
          <w:p>
            <w:pPr>
              <w:pStyle w:val="style0"/>
              <w:suppressAutoHyphens w:val="false"/>
              <w:jc w:val="both"/>
              <w:rPr>
                <w:rFonts w:cs="Arial"/>
                <w:color w:val="000000"/>
                <w:lang w:eastAsia="es-UY" w:val="es-UY"/>
              </w:rPr>
            </w:pPr>
            <w:r>
              <w:rPr>
                <w:rFonts w:cs="Arial"/>
                <w:color w:val="000000"/>
                <w:lang w:eastAsia="es-UY" w:val="es-UY"/>
              </w:rPr>
              <w:t xml:space="preserve">• </w:t>
            </w:r>
            <w:r>
              <w:rPr>
                <w:rFonts w:cs="Arial"/>
                <w:color w:val="000000"/>
                <w:lang w:eastAsia="es-UY" w:val="es-UY"/>
              </w:rPr>
              <w:t>Conocer diferentes soportes teórico – técnicos de trabajo en psicología social</w:t>
            </w:r>
          </w:p>
          <w:p>
            <w:pPr>
              <w:pStyle w:val="style0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     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9497"/>
      </w:tblGrid>
      <w:tr>
        <w:trPr>
          <w:cantSplit w:val="tru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color w:val="FFFFFF"/>
                <w:sz w:val="20"/>
                <w:shd w:fill="000080" w:val="clear"/>
                <w:lang w:val="es-MX"/>
              </w:rPr>
            </w:pPr>
            <w:r>
              <w:rPr>
                <w:b/>
                <w:color w:val="FFFFFF"/>
                <w:shd w:fill="000080" w:val="clear"/>
                <w:lang w:val="es-MX"/>
              </w:rPr>
              <w:t xml:space="preserve">CONTENIDOS :                          </w:t>
            </w:r>
            <w:r>
              <w:rPr>
                <w:color w:val="FFFFFF"/>
                <w:sz w:val="20"/>
                <w:shd w:fill="000080" w:val="clear"/>
                <w:lang w:val="es-MX"/>
              </w:rPr>
              <w:t>(Indique brevemente los principales contenidos temáticos del curso)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 - Desarrollo histórico y constitución de la psicología social como campo de conocimientos.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II - La construcción del conocimiento en psicología social.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III – Lo colectivo.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IV - Del enfoque bio-psico-social a la concepción social–histórica de la producción de subjetividad.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IV -1- Relación social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IV -2- Vida cotidiana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IV -3- Salud enfermedad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V – El campo de lo grupal, el campo de lo organizacional, el campo de lo institucional, el campo de lo comunitario.</w:t>
            </w:r>
          </w:p>
          <w:p>
            <w:pPr>
              <w:pStyle w:val="style0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V -1- Lo grupal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V -2- Lo organizacional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V -3- Lo institucional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V -4- Lo comunitario</w:t>
            </w:r>
          </w:p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9497"/>
      </w:tblGrid>
      <w:tr>
        <w:trPr>
          <w:cantSplit w:val="tru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color w:val="FFFFFF"/>
                <w:sz w:val="20"/>
                <w:shd w:fill="000080" w:val="clear"/>
                <w:lang w:val="es-MX"/>
              </w:rPr>
            </w:pPr>
            <w:r>
              <w:rPr>
                <w:b/>
                <w:color w:val="FFFFFF"/>
                <w:shd w:fill="000080" w:val="clear"/>
                <w:lang w:val="es-MX"/>
              </w:rPr>
              <w:t xml:space="preserve">METODOLOGÍA :                      </w:t>
            </w:r>
            <w:r>
              <w:rPr>
                <w:color w:val="FFFFFF"/>
                <w:sz w:val="20"/>
                <w:shd w:fill="000080" w:val="clear"/>
                <w:lang w:val="es-MX"/>
              </w:rPr>
              <w:t>(Indique brevemente la metodología del curso)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  <w:p>
            <w:pPr>
              <w:pStyle w:val="style0"/>
              <w:suppressAutoHyphens w:val="false"/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</w:pPr>
            <w:r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  <w:t>Se trabajará en instancias teóricas de hasta 180 estudiantes.</w:t>
            </w:r>
          </w:p>
          <w:p>
            <w:pPr>
              <w:pStyle w:val="style0"/>
              <w:suppressAutoHyphens w:val="false"/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</w:pPr>
            <w:r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  <w:t>Metodología: exposición teórica y utilización de técnicas de trabajo con medianos y pequeños grupos.</w:t>
            </w:r>
          </w:p>
          <w:p>
            <w:pPr>
              <w:pStyle w:val="style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b/>
          <w:lang w:val="es-MX"/>
        </w:rPr>
      </w:pPr>
      <w:r>
        <w:rPr>
          <w:b/>
          <w:lang w:val="es-MX"/>
        </w:rPr>
        <w:t>DEDICACIÓN (CARGA) HORARIA.</w:t>
      </w:r>
    </w:p>
    <w:p>
      <w:pPr>
        <w:pStyle w:val="style0"/>
        <w:rPr>
          <w:b/>
          <w:lang w:val="es-MX"/>
        </w:rPr>
      </w:pPr>
      <w:r>
        <w:rPr>
          <w:b/>
          <w:lang w:val="es-MX"/>
        </w:rPr>
      </w:r>
    </w:p>
    <w:p>
      <w:pPr>
        <w:pStyle w:val="style0"/>
        <w:rPr>
          <w:sz w:val="20"/>
          <w:lang w:val="es-MX"/>
        </w:rPr>
      </w:pPr>
      <w:r>
        <w:rPr>
          <w:rFonts w:cs="Arial" w:eastAsia="Arial"/>
          <w:sz w:val="20"/>
          <w:lang w:val="es-MX"/>
        </w:rPr>
        <w:t xml:space="preserve"> </w:t>
      </w:r>
      <w:r>
        <w:rPr>
          <w:sz w:val="20"/>
          <w:lang w:val="es-MX"/>
        </w:rPr>
        <w:t xml:space="preserve">Indique la forma en que se asignará la dedicación horaria de los estudiantes a los efectos del cálculo de Créditos del Curso. Fórmula para el cálculo de créditos de asignaturas semestrales: </w:t>
      </w:r>
      <w:bookmarkStart w:id="0" w:name="%253A127"/>
      <w:bookmarkEnd w:id="0"/>
      <w:r>
        <w:rPr>
          <w:rFonts w:cs="Arial"/>
          <w:color w:val="222222"/>
          <w:sz w:val="20"/>
          <w:lang w:val="es-MX"/>
        </w:rPr>
        <w:t>[(horas de clase teóricas semanales  x 16)2 + (horas de clase teórico-prácticas x16)1,5 + (horas de preparación de informes, excursiones, seminarios, etc.)]/15</w:t>
      </w:r>
      <w:r>
        <w:rPr>
          <w:sz w:val="20"/>
          <w:lang w:val="es-MX"/>
        </w:rPr>
        <w:t>). Por dudas consulte a: uae@curemaldonado.edu.uy.</w:t>
      </w:r>
    </w:p>
    <w:p>
      <w:pPr>
        <w:pStyle w:val="style0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style0"/>
        <w:rPr>
          <w:rFonts w:cs="Arial" w:eastAsia="Arial"/>
          <w:sz w:val="16"/>
          <w:lang w:val="es-MX"/>
        </w:rPr>
      </w:pPr>
      <w:r>
        <w:rPr>
          <w:rFonts w:cs="Arial" w:eastAsia="Arial"/>
          <w:sz w:val="16"/>
          <w:lang w:val="es-MX"/>
        </w:rPr>
        <w:t xml:space="preserve"> </w:t>
      </w:r>
    </w:p>
    <w:p>
      <w:pPr>
        <w:pStyle w:val="style0"/>
        <w:rPr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 xml:space="preserve">a) CURSOS PRESENCIALES: </w:t>
      </w:r>
      <w:r>
        <w:rPr>
          <w:sz w:val="22"/>
          <w:szCs w:val="22"/>
          <w:lang w:val="es-MX"/>
        </w:rPr>
        <w:t>(indique nº de horas para cada caso)</w:t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2691"/>
        <w:gridCol w:w="552"/>
        <w:gridCol w:w="2345"/>
        <w:gridCol w:w="552"/>
        <w:gridCol w:w="2762"/>
        <w:gridCol w:w="594"/>
      </w:tblGrid>
      <w:tr>
        <w:trPr>
          <w:cantSplit w:val="false"/>
        </w:trPr>
        <w:tc>
          <w:tcPr>
            <w:tcW w:type="dxa" w:w="26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Exposiciones Teóricas</w:t>
            </w:r>
          </w:p>
        </w:tc>
        <w:tc>
          <w:tcPr>
            <w:tcW w:type="dxa" w:w="5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1"/>
              <w:rPr>
                <w:bCs w:val="false"/>
              </w:rPr>
            </w:pPr>
            <w:r>
              <w:rPr>
                <w:bCs w:val="false"/>
              </w:rPr>
            </w:r>
          </w:p>
        </w:tc>
        <w:tc>
          <w:tcPr>
            <w:tcW w:type="dxa" w:w="23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Teórico - Prácticos</w:t>
            </w:r>
          </w:p>
        </w:tc>
        <w:tc>
          <w:tcPr>
            <w:tcW w:type="dxa" w:w="5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4"/>
              <w:numPr>
                <w:ilvl w:val="3"/>
                <w:numId w:val="1"/>
              </w:numPr>
              <w:rPr/>
            </w:pPr>
            <w:r>
              <w:rPr/>
            </w:r>
          </w:p>
        </w:tc>
        <w:tc>
          <w:tcPr>
            <w:tcW w:type="dxa" w:w="27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Prácticos (campo o laboratorio)</w:t>
            </w:r>
          </w:p>
        </w:tc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4"/>
              <w:numPr>
                <w:ilvl w:val="3"/>
                <w:numId w:val="1"/>
              </w:numPr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6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Talleres </w:t>
            </w:r>
          </w:p>
        </w:tc>
        <w:tc>
          <w:tcPr>
            <w:tcW w:type="dxa" w:w="5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1"/>
              <w:rPr>
                <w:bCs w:val="false"/>
              </w:rPr>
            </w:pPr>
            <w:r>
              <w:rPr>
                <w:bCs w:val="false"/>
              </w:rPr>
            </w:r>
          </w:p>
        </w:tc>
        <w:tc>
          <w:tcPr>
            <w:tcW w:type="dxa" w:w="23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Seminarios</w:t>
            </w:r>
          </w:p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  <w:tc>
          <w:tcPr>
            <w:tcW w:type="dxa" w:w="5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4"/>
              <w:numPr>
                <w:ilvl w:val="3"/>
                <w:numId w:val="1"/>
              </w:numPr>
              <w:rPr/>
            </w:pPr>
            <w:r>
              <w:rPr/>
            </w:r>
          </w:p>
        </w:tc>
        <w:tc>
          <w:tcPr>
            <w:tcW w:type="dxa" w:w="27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Excursiones</w:t>
            </w:r>
          </w:p>
        </w:tc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4"/>
              <w:numPr>
                <w:ilvl w:val="3"/>
                <w:numId w:val="1"/>
              </w:numPr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6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Actividades Grupales o individuales de preparación de informes</w:t>
            </w:r>
          </w:p>
        </w:tc>
        <w:tc>
          <w:tcPr>
            <w:tcW w:type="dxa" w:w="5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1"/>
              <w:rPr>
                <w:bCs w:val="false"/>
              </w:rPr>
            </w:pPr>
            <w:r>
              <w:rPr>
                <w:bCs w:val="false"/>
              </w:rPr>
            </w:r>
          </w:p>
        </w:tc>
        <w:tc>
          <w:tcPr>
            <w:tcW w:type="dxa" w:w="23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Presentaciones orales, defensas de informes o evaluaciones</w:t>
            </w:r>
          </w:p>
        </w:tc>
        <w:tc>
          <w:tcPr>
            <w:tcW w:type="dxa" w:w="5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4"/>
              <w:numPr>
                <w:ilvl w:val="3"/>
                <w:numId w:val="1"/>
              </w:numPr>
              <w:rPr/>
            </w:pPr>
            <w:r>
              <w:rPr/>
            </w:r>
          </w:p>
        </w:tc>
        <w:tc>
          <w:tcPr>
            <w:tcW w:type="dxa" w:w="27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  <w:t>Lectura o trabajo domiciliario (1)</w:t>
            </w:r>
          </w:p>
        </w:tc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4"/>
              <w:numPr>
                <w:ilvl w:val="3"/>
                <w:numId w:val="1"/>
              </w:numPr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26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/>
                <w:lang w:val="es-MX"/>
              </w:rPr>
              <w:t xml:space="preserve">Otras </w:t>
            </w:r>
            <w:r>
              <w:rPr>
                <w:bCs/>
                <w:sz w:val="20"/>
                <w:lang w:val="es-MX"/>
              </w:rPr>
              <w:t>(indicar cual/es)</w:t>
            </w:r>
          </w:p>
        </w:tc>
        <w:tc>
          <w:tcPr>
            <w:tcW w:type="dxa" w:w="6805"/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  <w:p>
            <w:pPr>
              <w:pStyle w:val="style0"/>
              <w:rPr>
                <w:b/>
                <w:lang w:val="es-MX"/>
              </w:rPr>
            </w:pPr>
            <w:r>
              <w:rPr>
                <w:b/>
                <w:lang w:val="es-MX"/>
              </w:rPr>
            </w:r>
          </w:p>
        </w:tc>
      </w:tr>
    </w:tbl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  <w:t xml:space="preserve">(1) exigible en el curso, seminario o taller y que formen parte de la estrategia de enseñanza. </w:t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p>
      <w:pPr>
        <w:pStyle w:val="style0"/>
        <w:rPr>
          <w:b/>
          <w:bCs/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>b) CURSOS  A DISTANCIA:</w:t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2968"/>
        <w:gridCol w:w="685"/>
        <w:gridCol w:w="3088"/>
        <w:gridCol w:w="628"/>
        <w:gridCol w:w="1427"/>
        <w:gridCol w:w="700"/>
      </w:tblGrid>
      <w:tr>
        <w:trPr>
          <w:cantSplit w:val="false"/>
        </w:trPr>
        <w:tc>
          <w:tcPr>
            <w:tcW w:type="dxa" w:w="29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>Video-conferencia</w:t>
            </w:r>
          </w:p>
        </w:tc>
        <w:tc>
          <w:tcPr>
            <w:tcW w:type="dxa" w:w="6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 w:eastAsia="Arial"/>
                <w:b/>
                <w:lang w:val="es-MX"/>
              </w:rPr>
            </w:pPr>
            <w:r>
              <w:rPr>
                <w:rFonts w:cs="Arial" w:eastAsia="Arial"/>
                <w:b/>
                <w:lang w:val="es-MX"/>
              </w:rPr>
              <w:t xml:space="preserve">      </w:t>
            </w:r>
          </w:p>
        </w:tc>
        <w:tc>
          <w:tcPr>
            <w:tcW w:type="dxa" w:w="308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>Materiales escritos</w:t>
            </w:r>
          </w:p>
        </w:tc>
        <w:tc>
          <w:tcPr>
            <w:tcW w:type="dxa" w:w="62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 w:eastAsia="Arial"/>
                <w:b/>
                <w:lang w:val="es-MX"/>
              </w:rPr>
            </w:pPr>
            <w:r>
              <w:rPr>
                <w:rFonts w:cs="Arial" w:eastAsia="Arial"/>
                <w:b/>
                <w:lang w:val="es-MX"/>
              </w:rPr>
              <w:t xml:space="preserve">      </w:t>
            </w:r>
          </w:p>
        </w:tc>
        <w:tc>
          <w:tcPr>
            <w:tcW w:type="dxa" w:w="14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>Internet</w:t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3"/>
              <w:numPr>
                <w:ilvl w:val="2"/>
                <w:numId w:val="1"/>
              </w:numPr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En caso de utilizar videoconferencia:</w:t>
      </w:r>
    </w:p>
    <w:tbl>
      <w:tblPr>
        <w:tblW w:type="dxa" w:w="9497"/>
        <w:jc w:val="left"/>
        <w:tblInd w:type="dxa" w:w="-8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-5"/>
          <w:bottom w:type="dxa" w:w="0"/>
          <w:right w:type="dxa" w:w="0"/>
        </w:tblCellMar>
      </w:tblPr>
      <w:tblGrid>
        <w:gridCol w:w="3691"/>
        <w:gridCol w:w="3064"/>
        <w:gridCol w:w="2742"/>
      </w:tblGrid>
      <w:tr>
        <w:trPr>
          <w:cantSplit w:val="false"/>
        </w:trPr>
        <w:tc>
          <w:tcPr>
            <w:tcW w:type="dxa" w:w="36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>Localidad emisora</w:t>
            </w:r>
          </w:p>
        </w:tc>
        <w:tc>
          <w:tcPr>
            <w:tcW w:type="dxa" w:w="30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</w:r>
          </w:p>
        </w:tc>
        <w:tc>
          <w:tcPr>
            <w:tcW w:type="dxa" w:w="2742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36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>Localidades receptoras</w:t>
            </w:r>
          </w:p>
        </w:tc>
        <w:tc>
          <w:tcPr>
            <w:tcW w:type="dxa" w:w="580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9497"/>
      </w:tblGrid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color w:val="FFFFFF"/>
                <w:sz w:val="20"/>
                <w:szCs w:val="20"/>
                <w:shd w:fill="000080" w:val="clear"/>
                <w:lang w:val="es-MX"/>
              </w:rPr>
            </w:pPr>
            <w:r>
              <w:rPr>
                <w:b/>
                <w:color w:val="FFFFFF"/>
                <w:shd w:fill="000080" w:val="clear"/>
                <w:lang w:val="es-MX"/>
              </w:rPr>
              <w:t>EVALUACIÓN (</w:t>
            </w:r>
            <w:r>
              <w:rPr>
                <w:color w:val="FFFFFF"/>
                <w:sz w:val="20"/>
                <w:szCs w:val="20"/>
                <w:shd w:fill="000080" w:val="clear"/>
                <w:lang w:val="es-MX"/>
              </w:rPr>
              <w:t>evaluación de los estudiantes) :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Cs/>
                <w:lang w:val="es-MX"/>
              </w:rPr>
            </w:pPr>
            <w:r>
              <w:rPr>
                <w:bCs/>
                <w:lang w:val="es-MX"/>
              </w:rPr>
            </w:r>
          </w:p>
          <w:p>
            <w:pPr>
              <w:pStyle w:val="style0"/>
              <w:suppressAutoHyphens w:val="false"/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</w:pPr>
            <w:r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  <w:t xml:space="preserve">Se realizarán 2 evaluaciones de control de lectura (parciales en modalidad V/F), </w:t>
            </w:r>
            <w:r>
              <w:rPr>
                <w:rFonts w:ascii="GillSansMT-Bold" w:cs="GillSansMT-Bold" w:hAnsi="GillSansMT-Bold"/>
                <w:b/>
                <w:bCs/>
                <w:color w:val="333333"/>
                <w:sz w:val="26"/>
                <w:szCs w:val="26"/>
                <w:lang w:eastAsia="es-UY" w:val="es-UY"/>
              </w:rPr>
              <w:t>de carácter obligatorio</w:t>
            </w:r>
            <w:r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  <w:t>, no eliminatorias, y se solicitará cumplir con las tareas</w:t>
            </w:r>
            <w:r>
              <w:rPr>
                <w:rFonts w:ascii="GillSansMT-Bold" w:cs="GillSansMT-Bold" w:hAnsi="GillSansMT-Bold"/>
                <w:b/>
                <w:bCs/>
                <w:color w:val="333333"/>
                <w:sz w:val="26"/>
                <w:szCs w:val="26"/>
                <w:lang w:eastAsia="es-UY" w:val="es-UY"/>
              </w:rPr>
              <w:t xml:space="preserve"> </w:t>
            </w:r>
            <w:r>
              <w:rPr>
                <w:rFonts w:ascii="GillSansMT" w:cs="GillSansMT" w:hAnsi="GillSansMT"/>
                <w:color w:val="333333"/>
                <w:sz w:val="26"/>
                <w:szCs w:val="26"/>
                <w:lang w:eastAsia="es-UY" w:val="es-UY"/>
              </w:rPr>
              <w:t>encomendadas. Entre ambas evaluaciones se deberá obtener como promedio nota 3 (tres).</w:t>
            </w:r>
          </w:p>
          <w:p>
            <w:pPr>
              <w:pStyle w:val="style0"/>
              <w:rPr>
                <w:rFonts w:ascii="GillSansMT" w:cs="GillSansMT" w:hAnsi="GillSansMT"/>
                <w:color w:val="000000"/>
                <w:lang w:eastAsia="es-UY" w:val="es-UY"/>
              </w:rPr>
            </w:pPr>
            <w:r>
              <w:rPr>
                <w:rFonts w:ascii="GillSansMT" w:cs="GillSansMT" w:hAnsi="GillSansMT"/>
                <w:color w:val="000000"/>
                <w:lang w:eastAsia="es-UY" w:val="es-UY"/>
              </w:rPr>
              <w:t>Asimismo el examen será en modalidad V/F.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sz w:val="16"/>
                <w:lang w:val="es-MX"/>
              </w:rPr>
            </w:pPr>
            <w:r>
              <w:rPr>
                <w:b/>
                <w:color w:val="FFFFFF"/>
                <w:sz w:val="16"/>
                <w:lang w:val="es-MX"/>
              </w:rPr>
            </w:r>
          </w:p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CRONOGRAMA DEL CURSO :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Año:                   Semestre:        Bimestre (si es de posgrado):</w:t>
            </w:r>
          </w:p>
          <w:p>
            <w:pPr>
              <w:pStyle w:val="style0"/>
              <w:rPr>
                <w:bCs/>
                <w:lang w:val="es-MX"/>
              </w:rPr>
            </w:pPr>
            <w:r>
              <w:rPr>
                <w:bCs/>
                <w:lang w:val="es-MX"/>
              </w:rPr>
            </w:r>
          </w:p>
          <w:p>
            <w:pPr>
              <w:pStyle w:val="style0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Días y horarios:</w:t>
            </w:r>
          </w:p>
          <w:p>
            <w:pPr>
              <w:pStyle w:val="style0"/>
              <w:rPr>
                <w:bCs/>
                <w:lang w:val="es-MX"/>
              </w:rPr>
            </w:pPr>
            <w:r>
              <w:rPr>
                <w:bCs/>
                <w:lang w:val="es-MX"/>
              </w:rPr>
            </w:r>
          </w:p>
          <w:p>
            <w:pPr>
              <w:pStyle w:val="style0"/>
              <w:rPr>
                <w:bCs/>
                <w:lang w:val="es-MX"/>
              </w:rPr>
            </w:pPr>
            <w:r>
              <w:rPr>
                <w:bCs/>
                <w:lang w:val="es-MX"/>
              </w:rPr>
            </w:r>
          </w:p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Cs/>
                <w:sz w:val="20"/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8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-5"/>
          <w:bottom w:type="dxa" w:w="0"/>
          <w:right w:type="dxa" w:w="0"/>
        </w:tblCellMar>
      </w:tblPr>
      <w:tblGrid>
        <w:gridCol w:w="4634"/>
        <w:gridCol w:w="4862"/>
      </w:tblGrid>
      <w:tr>
        <w:trPr>
          <w:cantSplit w:val="false"/>
        </w:trPr>
        <w:tc>
          <w:tcPr>
            <w:tcW w:type="dxa" w:w="463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color w:val="FFFFFF"/>
                <w:sz w:val="20"/>
                <w:lang w:val="es-MX"/>
              </w:rPr>
            </w:pPr>
            <w:r>
              <w:rPr>
                <w:b/>
                <w:color w:val="FFFFFF"/>
                <w:lang w:val="es-MX"/>
              </w:rPr>
              <w:t xml:space="preserve">EVALUACIÓN : </w:t>
            </w:r>
            <w:r>
              <w:rPr>
                <w:bCs/>
                <w:color w:val="FFFFFF"/>
                <w:sz w:val="20"/>
                <w:lang w:val="es-MX"/>
              </w:rPr>
              <w:t>(Indicar si se realiza)</w:t>
            </w:r>
          </w:p>
        </w:tc>
        <w:tc>
          <w:tcPr>
            <w:tcW w:type="dxa" w:w="4862"/>
            <w:gridSpan w:val="2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color w:val="FFFFFF"/>
                <w:lang w:val="es-MX"/>
              </w:rPr>
            </w:pPr>
            <w:r>
              <w:rPr>
                <w:color w:val="FFFFFF"/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33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/>
                <w:lang w:val="es-MX"/>
              </w:rPr>
              <w:t xml:space="preserve">DEL CURSO: </w:t>
            </w:r>
            <w:r>
              <w:rPr>
                <w:bCs/>
                <w:sz w:val="20"/>
                <w:lang w:val="es-MX"/>
              </w:rPr>
              <w:t>(Por los alumnos)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2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type="dxa" w:w="4689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Cs/>
                <w:sz w:val="20"/>
                <w:lang w:val="es-MX"/>
              </w:rPr>
              <w:t>(Por los docentes)</w:t>
            </w:r>
          </w:p>
        </w:tc>
        <w:tc>
          <w:tcPr>
            <w:tcW w:type="dxa" w:w="5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Cs/>
                <w:sz w:val="20"/>
                <w:lang w:val="es-MX"/>
              </w:rPr>
              <w:t>Si</w:t>
            </w:r>
          </w:p>
        </w:tc>
      </w:tr>
      <w:tr>
        <w:trPr>
          <w:cantSplit w:val="false"/>
        </w:trPr>
        <w:tc>
          <w:tcPr>
            <w:tcW w:type="dxa" w:w="8905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Cs/>
                <w:sz w:val="20"/>
                <w:lang w:val="es-MX"/>
              </w:rPr>
              <w:t>(Por la UAE)</w:t>
            </w:r>
          </w:p>
        </w:tc>
        <w:tc>
          <w:tcPr>
            <w:tcW w:type="dxa" w:w="5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Cs/>
                <w:sz w:val="20"/>
                <w:lang w:val="es-MX"/>
              </w:rPr>
            </w:r>
          </w:p>
        </w:tc>
      </w:tr>
      <w:tr>
        <w:trPr>
          <w:cantSplit w:val="false"/>
        </w:trPr>
        <w:tc>
          <w:tcPr>
            <w:tcW w:type="dxa" w:w="8905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/>
                <w:lang w:val="es-MX"/>
              </w:rPr>
              <w:t xml:space="preserve">DE LOS ESTUDIANTES: </w:t>
            </w:r>
            <w:r>
              <w:rPr>
                <w:bCs/>
                <w:sz w:val="20"/>
                <w:lang w:val="es-MX"/>
              </w:rPr>
              <w:t>(Por parte de los docentes)</w:t>
            </w:r>
          </w:p>
        </w:tc>
        <w:tc>
          <w:tcPr>
            <w:tcW w:type="dxa" w:w="5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-5"/>
            </w:tcMar>
          </w:tcPr>
          <w:p>
            <w:pPr>
              <w:pStyle w:val="style0"/>
              <w:rPr>
                <w:bCs/>
                <w:sz w:val="20"/>
                <w:lang w:val="es-MX"/>
              </w:rPr>
            </w:pPr>
            <w:r>
              <w:rPr>
                <w:bCs/>
                <w:sz w:val="20"/>
                <w:lang w:val="es-MX"/>
              </w:rPr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sz w:val="16"/>
          <w:lang w:val="es-MX"/>
        </w:rPr>
      </w:pPr>
      <w:r>
        <w:rPr>
          <w:sz w:val="16"/>
          <w:lang w:val="es-MX"/>
        </w:rPr>
      </w:r>
    </w:p>
    <w:tbl>
      <w:tblPr>
        <w:tblW w:type="dxa" w:w="9497"/>
        <w:jc w:val="left"/>
        <w:tblInd w:type="dxa" w:w="-14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4763"/>
        <w:gridCol w:w="4733"/>
      </w:tblGrid>
      <w:tr>
        <w:trPr>
          <w:cantSplit w:val="false"/>
        </w:trPr>
        <w:tc>
          <w:tcPr>
            <w:tcW w:type="dxa" w:w="47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333399" w:val="clear"/>
            <w:tcMar>
              <w:left w:type="dxa" w:w="65"/>
            </w:tcMar>
          </w:tcPr>
          <w:p>
            <w:pPr>
              <w:pStyle w:val="style0"/>
              <w:rPr>
                <w:b/>
                <w:color w:val="FFFFFF"/>
                <w:lang w:val="es-MX"/>
              </w:rPr>
            </w:pPr>
            <w:r>
              <w:rPr>
                <w:b/>
                <w:color w:val="FFFFFF"/>
                <w:lang w:val="es-MX"/>
              </w:rPr>
              <w:t>CRÉDITOS SUGERIDOS:</w:t>
            </w:r>
          </w:p>
        </w:tc>
        <w:tc>
          <w:tcPr>
            <w:tcW w:type="dxa" w:w="4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"/>
            </w:tcMar>
          </w:tcPr>
          <w:p>
            <w:pPr>
              <w:pStyle w:val="style0"/>
              <w:rPr>
                <w:rFonts w:cs="Arial" w:eastAsia="Arial"/>
                <w:lang w:val="es-MX"/>
              </w:rPr>
            </w:pPr>
            <w:r>
              <w:rPr>
                <w:rFonts w:cs="Arial" w:eastAsia="Arial"/>
                <w:lang w:val="es-MX"/>
              </w:rPr>
              <w:t xml:space="preserve">  </w:t>
            </w:r>
            <w:r>
              <w:rPr>
                <w:rFonts w:cs="Arial" w:eastAsia="Arial"/>
                <w:lang w:val="es-MX"/>
              </w:rPr>
              <w:t>10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tbl>
      <w:tblPr>
        <w:tblW w:type="dxa" w:w="9497"/>
        <w:jc w:val="left"/>
        <w:tblInd w:type="dxa" w:w="-2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9497"/>
      </w:tblGrid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b/>
                <w:bCs/>
                <w:color w:val="FFFFFF"/>
                <w:shd w:fill="000080" w:val="clear"/>
              </w:rPr>
            </w:pPr>
            <w:r>
              <w:rPr>
                <w:b/>
                <w:bCs/>
                <w:color w:val="FFFFFF"/>
                <w:shd w:fill="000080" w:val="clear"/>
              </w:rPr>
              <w:t>BIBLIOGRAFíA</w:t>
            </w:r>
          </w:p>
        </w:tc>
      </w:tr>
      <w:tr>
        <w:trPr>
          <w:cantSplit w:val="false"/>
        </w:trPr>
        <w:tc>
          <w:tcPr>
            <w:tcW w:type="dxa" w:w="9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 - Desarrollo histórico y constitución de la psicología social como campo de conocimientos.</w:t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Giorgi, V., Rodríguez, A. y Rudolf, S. (2011) La Psicología Comunitaria en el Uruguay: Herencias y rupturas en relación a su historia. En: M. Montero e I. Serrano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, Historias de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la Psicología Comunitaria en América Latina. Participación y transformación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(pp. 399-421) Buenos Aires: Paidós.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Scherzer, A. (1987). Emergentes de una Psicología Social Sumergida. (pp. 11-15) En: Emergentes de una Psicología Social Sumergida. Montevideo: Banda Oriental.</w:t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II - La construcción del conocimiento en psicología social.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Maceiras J. &amp; Bachino, N. (2008). Territorio, ámbito y campo. En: G. Etcheverry y A. Protesoni. (Eds.)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 xml:space="preserve">Derivas de la Psicología Social Universitaria. 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(pp. 43- 65). Montevideo: Ediciones Levy.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Montero, M. (2004) El paradigma de la Psicología Comunitaria y su fundamentación ética-relacional. En M. Montero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Introducción a la Psicología Comunitaria. Desarrollo,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 xml:space="preserve">conceptos y procesos. 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(pp.89-114) Buenos Aires: Paidós</w:t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III – Lo colectivo.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Ferullo, A. G. (2006) Una aproximación al tema de la participación desde la Psicología. En. A. G. Ferullo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El triángulo de las tres "P". Psicología, Participación y Poder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(pp. 31-51). Buenos Aires: Paidós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Freud, S. (1979). Psicología de las masas y análisis del yo. En: Freud, S. Obras completas, Vol. XVII. Buenos Aires: Amorrortu.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Negri, T. &amp; Hardt, M. (2004). Introducción a Multitud. En: T. Negri y M. Hardt.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 xml:space="preserve">Multitud. Guerra y democracia en la era del Imperio. 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(pp. 127- 130). Argentina: Debate.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Raggio, A. (1996) Prólogo. En: J. De Brasi.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La explosión del sujeto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(pp. 7-12) Montevideo: Multiplicidades.</w:t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IV - Del enfoque bio-psico-social a la concepción social–histórica de la producción de subjetividad.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 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IV -1- Relación social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Guattari, F. (1988).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Las tres ecologías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Valencia: Pre- textos.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Marx, K. (1844). Tesis sobre Feuerbach y Prólogo de la Contribución a la crítica de la economía política. En: K. Marx.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Obras escogidas en dos tomos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(pp. 3- 7) Moscú: Ed. Progreso.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IV -2- Vida cotidiana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Montero, M. (2004). Procesos psicosociales comunitarios. En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Introducción a la Psicología Comunitaria Desarrollo, conceptos y procesos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(pp.123-137) Buenos Aires:Paidós.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Pichon Rivière, E. &amp; Pampliega de Quiroga, A. (1985). Introducción y Psicología Social. En: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 xml:space="preserve">Psicología de la vida cotidiana. 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(pp. 7- 21) Buenos Aires: Nueva Visión.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IV -3- Salud enfermedad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De León, N. (2005). ¿Por qué no hablar con la locura? En: M. Folle y A. Protesoni (Eds.)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Tránsitos de una Psicología Social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(pp. 117- 126) Montevideo: Psicolibros.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Etcheverry, G. (2005). Vida cotidiana y salud enfermedad: modalidades de la producción subjetiva. En: M. Folle y A. Protesoni (Eds.)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Tránsitos de una Psicología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 xml:space="preserve"> </w:t>
            </w:r>
            <w:r>
              <w:rPr>
                <w:rFonts w:ascii="DejaVuSans-Oblique" w:cs="DejaVuSans-Oblique" w:hAnsi="DejaVuSans-Oblique"/>
                <w:i/>
                <w:iCs/>
                <w:sz w:val="22"/>
                <w:szCs w:val="22"/>
                <w:lang w:eastAsia="es-UY" w:val="es-UY"/>
              </w:rPr>
              <w:t>Social</w:t>
            </w: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. (pp. 67- 78) Montevideo: Psicolibros.</w:t>
            </w:r>
          </w:p>
          <w:p>
            <w:pPr>
              <w:pStyle w:val="style0"/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</w:pPr>
            <w:r>
              <w:rPr>
                <w:rFonts w:ascii="DejaVuSans-Bold" w:cs="DejaVuSans-Bold" w:hAnsi="DejaVuSans-Bold"/>
                <w:b/>
                <w:bCs/>
                <w:sz w:val="22"/>
                <w:szCs w:val="22"/>
                <w:lang w:eastAsia="es-UY" w:val="es-UY"/>
              </w:rPr>
              <w:t>V – El campo de lo grupal, el campo de lo organizacional, el campo de lo institucional, el campo de lo comunitario.</w:t>
            </w:r>
          </w:p>
          <w:p>
            <w:pPr>
              <w:pStyle w:val="style0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rPr>
                <w:rFonts w:ascii="DejaVuSans" w:cs="DejaVuSans" w:hAnsi="DejaVuSans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sz w:val="22"/>
                <w:szCs w:val="22"/>
                <w:lang w:eastAsia="es-UY" w:val="es-UY"/>
              </w:rPr>
              <w:t>V -1- Lo grupal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 xml:space="preserve">Fernández, A. (1992). </w:t>
            </w:r>
            <w:r>
              <w:rPr>
                <w:rFonts w:ascii="DejaVuSans-Oblique" w:cs="DejaVuSans-Oblique" w:hAnsi="DejaVuSans-Oblique"/>
                <w:i/>
                <w:iCs/>
                <w:color w:val="000000"/>
                <w:sz w:val="22"/>
                <w:szCs w:val="22"/>
                <w:lang w:eastAsia="es-UY" w:val="es-UY"/>
              </w:rPr>
              <w:t xml:space="preserve">El campo grupal. </w:t>
            </w: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Cap. 1, 3, 4, 5, y 7. Buenos Aires: Nueva Visión.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 xml:space="preserve">Pichon Rivière, E. (1982). Estructura de una escuela destinada a la formación de psicólogos sociales. En: </w:t>
            </w:r>
            <w:r>
              <w:rPr>
                <w:rFonts w:ascii="DejaVuSans-Oblique" w:cs="DejaVuSans-Oblique" w:hAnsi="DejaVuSans-Oblique"/>
                <w:i/>
                <w:iCs/>
                <w:color w:val="000000"/>
                <w:sz w:val="22"/>
                <w:szCs w:val="22"/>
                <w:lang w:eastAsia="es-UY" w:val="es-UY"/>
              </w:rPr>
              <w:t xml:space="preserve">El proceso grupal. </w:t>
            </w: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(pp. 149- 160). Buenos Aires: Nueva Visión.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V -2- Lo organizacional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 xml:space="preserve">Schvarstein, L. (1992). Psicología Social de las Organizaciones. En: </w:t>
            </w:r>
            <w:r>
              <w:rPr>
                <w:rFonts w:ascii="DejaVuSans-Oblique" w:cs="DejaVuSans-Oblique" w:hAnsi="DejaVuSans-Oblique"/>
                <w:i/>
                <w:iCs/>
                <w:color w:val="000000"/>
                <w:sz w:val="22"/>
                <w:szCs w:val="22"/>
                <w:lang w:eastAsia="es-UY" w:val="es-UY"/>
              </w:rPr>
              <w:t>Psicología Social de las Organizaciones. Nuevos Aportes</w:t>
            </w: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. (pp. 21- 85) Buenos Aires: Paidós.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V -3- Lo institucional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 xml:space="preserve">Kaminsky, G. (1998) Instituciones III: análisis y propuestas. En: </w:t>
            </w:r>
            <w:r>
              <w:rPr>
                <w:rFonts w:ascii="DejaVuSans-Oblique" w:cs="DejaVuSans-Oblique" w:hAnsi="DejaVuSans-Oblique"/>
                <w:i/>
                <w:iCs/>
                <w:color w:val="000000"/>
                <w:sz w:val="22"/>
                <w:szCs w:val="22"/>
                <w:lang w:eastAsia="es-UY" w:val="es-UY"/>
              </w:rPr>
              <w:t xml:space="preserve">Dispositivos institucionales. </w:t>
            </w: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(pp. 29- 40). Buenos Aires: Lugar Editorial.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V -4- Lo comunitario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333333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333333"/>
                <w:sz w:val="22"/>
                <w:szCs w:val="22"/>
                <w:lang w:eastAsia="es-UY" w:val="es-UY"/>
              </w:rPr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333333"/>
                <w:sz w:val="22"/>
                <w:szCs w:val="22"/>
                <w:lang w:eastAsia="es-UY" w:val="es-UY"/>
              </w:rPr>
              <w:t xml:space="preserve">Montenegro, M.; Rodríguez, A.; y Pujol, J. (2014) </w:t>
            </w: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La Psicología Social Comunitaria ante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los cambios en la sociedad contemporánea. De la reificación de lo común a la articulación</w:t>
            </w:r>
          </w:p>
          <w:p>
            <w:pPr>
              <w:pStyle w:val="style0"/>
              <w:suppressAutoHyphens w:val="false"/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 xml:space="preserve">de las diferencias. </w:t>
            </w:r>
            <w:r>
              <w:rPr>
                <w:rFonts w:ascii="DejaVuSans-Oblique" w:cs="DejaVuSans-Oblique" w:hAnsi="DejaVuSans-Oblique"/>
                <w:i/>
                <w:iCs/>
                <w:color w:val="000000"/>
                <w:sz w:val="22"/>
                <w:szCs w:val="22"/>
                <w:lang w:eastAsia="es-UY" w:val="es-UY"/>
              </w:rPr>
              <w:t xml:space="preserve">Psicoperspectivas, </w:t>
            </w:r>
            <w:r>
              <w:rPr>
                <w:rFonts w:ascii="DejaVuSans" w:cs="DejaVuSans" w:hAnsi="DejaVuSans"/>
                <w:color w:val="000000"/>
                <w:sz w:val="22"/>
                <w:szCs w:val="22"/>
                <w:lang w:eastAsia="es-UY" w:val="es-UY"/>
              </w:rPr>
              <w:t>13, (2), 32-43. Disponible en</w:t>
            </w:r>
          </w:p>
          <w:p>
            <w:pPr>
              <w:pStyle w:val="style0"/>
              <w:rPr>
                <w:rFonts w:ascii="DejaVuSans" w:cs="DejaVuSans" w:hAnsi="DejaVuSans"/>
                <w:color w:val="333333"/>
                <w:sz w:val="22"/>
                <w:szCs w:val="22"/>
                <w:lang w:eastAsia="es-UY" w:val="es-UY"/>
              </w:rPr>
            </w:pPr>
            <w:r>
              <w:rPr>
                <w:rFonts w:ascii="DejaVuSans" w:cs="DejaVuSans" w:hAnsi="DejaVuSans"/>
                <w:color w:val="000081"/>
                <w:sz w:val="22"/>
                <w:szCs w:val="22"/>
                <w:lang w:eastAsia="es-UY" w:val="es-UY"/>
              </w:rPr>
              <w:t>http://www.psicoperspectivas.cl/index.php/psicoperspectivas/article/view/433</w:t>
            </w:r>
            <w:r>
              <w:rPr>
                <w:rFonts w:ascii="DejaVuSans" w:cs="DejaVuSans" w:hAnsi="DejaVuSans"/>
                <w:color w:val="333333"/>
                <w:sz w:val="22"/>
                <w:szCs w:val="22"/>
                <w:lang w:eastAsia="es-UY" w:val="es-UY"/>
              </w:rPr>
              <w:t>.</w:t>
            </w:r>
          </w:p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style0"/>
        <w:rPr/>
      </w:pPr>
      <w:r>
        <w:rPr/>
      </w:r>
    </w:p>
    <w:sectPr>
      <w:footnotePr>
        <w:numFmt w:val="decimal"/>
      </w:footnotePr>
      <w:type w:val="nextPage"/>
      <w:pgSz w:h="16838" w:w="11906"/>
      <w:pgMar w:bottom="1418" w:footer="0" w:gutter="0" w:header="0" w:left="1134" w:right="1275" w:top="1418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1"/>
    <w:family w:val="swiss"/>
    <w:pitch w:val="variable"/>
  </w:font>
  <w:font w:name="News Gothic MT">
    <w:charset w:val="01"/>
    <w:family w:val="roman"/>
    <w:pitch w:val="variable"/>
  </w:font>
  <w:font w:name="DejaVuSans-Bold">
    <w:charset w:val="01"/>
    <w:family w:val="roman"/>
    <w:pitch w:val="variable"/>
  </w:font>
  <w:font w:name="DejaVuSans">
    <w:charset w:val="01"/>
    <w:family w:val="roman"/>
    <w:pitch w:val="variable"/>
  </w:font>
  <w:font w:name="GillSansMT">
    <w:charset w:val="01"/>
    <w:family w:val="roman"/>
    <w:pitch w:val="variable"/>
  </w:font>
  <w:font w:name="GillSansMT-Bold">
    <w:charset w:val="01"/>
    <w:family w:val="roman"/>
    <w:pitch w:val="variable"/>
  </w:font>
  <w:font w:name="DejaVuSans-Oblique">
    <w:charset w:val="01"/>
    <w:family w:val="roman"/>
    <w:pitch w:val="variable"/>
  </w:font>
  <w:font w:name="Symbol">
    <w:charset w:val="02"/>
    <w:family w:val="auto"/>
    <w:pitch w:val="variable"/>
  </w:font>
</w:fonts>
</file>

<file path=word/footnotes.xml><?xml version="1.0" encoding="utf-8"?>
<w:footnotes xmlns:r="http://schemas.openxmlformats.org/officeDocument/2006/relationships" xmlns:w="http://schemas.openxmlformats.org/wordprocessingml/2006/main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83"/>
        <w:rPr/>
      </w:pPr>
      <w:r>
        <w:rPr>
          <w:rStyle w:val="style64"/>
        </w:rPr>
        <w:footnoteRef/>
        <w:tab/>
      </w:r>
      <w:r>
        <w:rPr/>
        <w:tab/>
        <w:t xml:space="preserve">  CIO (orientación ciencias naturales </w:t>
      </w:r>
      <w:r>
        <w:rPr>
          <w:sz w:val="22"/>
        </w:rPr>
        <w:t xml:space="preserve">y </w:t>
      </w:r>
      <w:r>
        <w:rPr/>
        <w:t xml:space="preserve">tecnologías /CIO (orientación área social)/ otro </w:t>
      </w:r>
    </w:p>
  </w:footnote>
</w:footnote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bullet"/>
      <w:lvlText w:val="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Arial" w:cs="Times New Roman" w:eastAsia="Times New Roman" w:hAnsi="Arial"/>
      <w:color w:val="auto"/>
      <w:sz w:val="24"/>
      <w:szCs w:val="24"/>
      <w:lang w:bidi="ar-SA" w:eastAsia="zh-CN" w:val="es-ES"/>
    </w:rPr>
  </w:style>
  <w:style w:styleId="style1" w:type="paragraph">
    <w:name w:val="Encabezado 1"/>
    <w:basedOn w:val="style0"/>
    <w:next w:val="style1"/>
    <w:pPr>
      <w:keepNext/>
    </w:pPr>
    <w:rPr>
      <w:b/>
      <w:bCs/>
      <w:lang w:val="es-MX"/>
    </w:rPr>
  </w:style>
  <w:style w:styleId="style2" w:type="paragraph">
    <w:name w:val="Encabezado 2"/>
    <w:basedOn w:val="style0"/>
    <w:next w:val="style2"/>
    <w:pPr>
      <w:keepNext/>
    </w:pPr>
    <w:rPr>
      <w:b/>
      <w:sz w:val="20"/>
      <w:lang w:val="es-MX"/>
    </w:rPr>
  </w:style>
  <w:style w:styleId="style3" w:type="paragraph">
    <w:name w:val="Encabezado 3"/>
    <w:basedOn w:val="style0"/>
    <w:next w:val="style3"/>
    <w:pPr>
      <w:keepNext/>
    </w:pPr>
    <w:rPr>
      <w:rFonts w:cs="Arial"/>
      <w:b/>
      <w:bCs/>
      <w:color w:val="FFFFFF"/>
      <w:lang w:val="es-MX"/>
    </w:rPr>
  </w:style>
  <w:style w:styleId="style4" w:type="paragraph">
    <w:name w:val="Encabezado 4"/>
    <w:basedOn w:val="style0"/>
    <w:next w:val="style4"/>
    <w:pPr>
      <w:keepNext/>
      <w:jc w:val="center"/>
    </w:pPr>
    <w:rPr>
      <w:b/>
      <w:lang w:val="es-MX"/>
    </w:rPr>
  </w:style>
  <w:style w:styleId="style15" w:type="character">
    <w:name w:val="Default Paragraph Font"/>
    <w:next w:val="style15"/>
    <w:rPr/>
  </w:style>
  <w:style w:styleId="style16" w:type="character">
    <w:name w:val="WW8Num2z0"/>
    <w:next w:val="style16"/>
    <w:rPr>
      <w:rFonts w:ascii="Symbol" w:cs="Symbol" w:hAnsi="Symbol"/>
    </w:rPr>
  </w:style>
  <w:style w:styleId="style17" w:type="character">
    <w:name w:val="WW8Num4z0"/>
    <w:next w:val="style17"/>
    <w:rPr>
      <w:rFonts w:ascii="Symbol" w:cs="Symbol" w:hAnsi="Symbol"/>
    </w:rPr>
  </w:style>
  <w:style w:styleId="style18" w:type="character">
    <w:name w:val="Absatz-Standardschriftart"/>
    <w:next w:val="style18"/>
    <w:rPr/>
  </w:style>
  <w:style w:styleId="style19" w:type="character">
    <w:name w:val="WW8Num4z1"/>
    <w:next w:val="style19"/>
    <w:rPr>
      <w:rFonts w:ascii="Courier New" w:cs="Courier New" w:hAnsi="Courier New"/>
    </w:rPr>
  </w:style>
  <w:style w:styleId="style20" w:type="character">
    <w:name w:val="WW8Num4z3"/>
    <w:next w:val="style20"/>
    <w:rPr>
      <w:rFonts w:ascii="Symbol" w:cs="OpenSymbol" w:hAnsi="Symbol"/>
    </w:rPr>
  </w:style>
  <w:style w:styleId="style21" w:type="character">
    <w:name w:val="WW8Num7z0"/>
    <w:next w:val="style21"/>
    <w:rPr>
      <w:rFonts w:ascii="Symbol" w:cs="Symbol" w:hAnsi="Symbol"/>
      <w:sz w:val="20"/>
    </w:rPr>
  </w:style>
  <w:style w:styleId="style22" w:type="character">
    <w:name w:val="WW-Absatz-Standardschriftart"/>
    <w:next w:val="style22"/>
    <w:rPr/>
  </w:style>
  <w:style w:styleId="style23" w:type="character">
    <w:name w:val="WW8Num3z0"/>
    <w:next w:val="style23"/>
    <w:rPr>
      <w:rFonts w:ascii="Symbol" w:cs="Symbol" w:hAnsi="Symbol"/>
    </w:rPr>
  </w:style>
  <w:style w:styleId="style24" w:type="character">
    <w:name w:val="WW8Num5z0"/>
    <w:next w:val="style24"/>
    <w:rPr>
      <w:rFonts w:ascii="Times New Roman" w:cs="Times New Roman" w:eastAsia="Times New Roman" w:hAnsi="Times New Roman"/>
    </w:rPr>
  </w:style>
  <w:style w:styleId="style25" w:type="character">
    <w:name w:val="WW8Num5z1"/>
    <w:next w:val="style25"/>
    <w:rPr>
      <w:rFonts w:ascii="OpenSymbol" w:cs="OpenSymbol" w:hAnsi="OpenSymbol"/>
    </w:rPr>
  </w:style>
  <w:style w:styleId="style26" w:type="character">
    <w:name w:val="WW8Num5z3"/>
    <w:next w:val="style26"/>
    <w:rPr>
      <w:rFonts w:ascii="Symbol" w:cs="OpenSymbol" w:hAnsi="Symbol"/>
    </w:rPr>
  </w:style>
  <w:style w:styleId="style27" w:type="character">
    <w:name w:val="WW8Num6z0"/>
    <w:next w:val="style27"/>
    <w:rPr>
      <w:rFonts w:ascii="Symbol" w:cs="Symbol" w:hAnsi="Symbol"/>
    </w:rPr>
  </w:style>
  <w:style w:styleId="style28" w:type="character">
    <w:name w:val="WW8Num6z1"/>
    <w:next w:val="style28"/>
    <w:rPr>
      <w:rFonts w:ascii="Courier New" w:cs="Courier New" w:hAnsi="Courier New"/>
    </w:rPr>
  </w:style>
  <w:style w:styleId="style29" w:type="character">
    <w:name w:val="WW8Num6z2"/>
    <w:next w:val="style29"/>
    <w:rPr>
      <w:rFonts w:ascii="Wingdings" w:cs="Wingdings" w:hAnsi="Wingdings"/>
    </w:rPr>
  </w:style>
  <w:style w:styleId="style30" w:type="character">
    <w:name w:val="WW8Num9z1"/>
    <w:next w:val="style30"/>
    <w:rPr>
      <w:rFonts w:ascii="Wingdings" w:cs="Wingdings" w:hAnsi="Wingdings"/>
    </w:rPr>
  </w:style>
  <w:style w:styleId="style31" w:type="character">
    <w:name w:val="WW8Num11z0"/>
    <w:next w:val="style31"/>
    <w:rPr>
      <w:b/>
    </w:rPr>
  </w:style>
  <w:style w:styleId="style32" w:type="character">
    <w:name w:val="WW8Num13z0"/>
    <w:next w:val="style32"/>
    <w:rPr>
      <w:rFonts w:ascii="Symbol" w:cs="Symbol" w:hAnsi="Symbol"/>
    </w:rPr>
  </w:style>
  <w:style w:styleId="style33" w:type="character">
    <w:name w:val="WW8Num13z1"/>
    <w:next w:val="style33"/>
    <w:rPr>
      <w:rFonts w:ascii="Courier New" w:cs="Courier New" w:hAnsi="Courier New"/>
    </w:rPr>
  </w:style>
  <w:style w:styleId="style34" w:type="character">
    <w:name w:val="WW8Num13z2"/>
    <w:next w:val="style34"/>
    <w:rPr>
      <w:rFonts w:ascii="Wingdings" w:cs="Wingdings" w:hAnsi="Wingdings"/>
    </w:rPr>
  </w:style>
  <w:style w:styleId="style35" w:type="character">
    <w:name w:val="WW8Num14z0"/>
    <w:next w:val="style35"/>
    <w:rPr>
      <w:b/>
    </w:rPr>
  </w:style>
  <w:style w:styleId="style36" w:type="character">
    <w:name w:val="WW8Num15z0"/>
    <w:next w:val="style36"/>
    <w:rPr>
      <w:rFonts w:ascii="Symbol" w:cs="Symbol" w:hAnsi="Symbol"/>
    </w:rPr>
  </w:style>
  <w:style w:styleId="style37" w:type="character">
    <w:name w:val="WW8Num15z1"/>
    <w:next w:val="style37"/>
    <w:rPr>
      <w:rFonts w:ascii="Courier New" w:cs="Courier New" w:hAnsi="Courier New"/>
    </w:rPr>
  </w:style>
  <w:style w:styleId="style38" w:type="character">
    <w:name w:val="WW8Num15z2"/>
    <w:next w:val="style38"/>
    <w:rPr>
      <w:rFonts w:ascii="Wingdings" w:cs="Wingdings" w:hAnsi="Wingdings"/>
    </w:rPr>
  </w:style>
  <w:style w:styleId="style39" w:type="character">
    <w:name w:val="WW8Num18z0"/>
    <w:next w:val="style39"/>
    <w:rPr>
      <w:rFonts w:ascii="Symbol" w:cs="Symbol" w:hAnsi="Symbol"/>
    </w:rPr>
  </w:style>
  <w:style w:styleId="style40" w:type="character">
    <w:name w:val="WW8Num18z1"/>
    <w:next w:val="style40"/>
    <w:rPr>
      <w:rFonts w:ascii="Courier New" w:cs="Courier New" w:hAnsi="Courier New"/>
    </w:rPr>
  </w:style>
  <w:style w:styleId="style41" w:type="character">
    <w:name w:val="WW8Num18z2"/>
    <w:next w:val="style41"/>
    <w:rPr>
      <w:rFonts w:ascii="Wingdings" w:cs="Wingdings" w:hAnsi="Wingdings"/>
    </w:rPr>
  </w:style>
  <w:style w:styleId="style42" w:type="character">
    <w:name w:val="Fuente de párrafo predeter.2"/>
    <w:next w:val="style42"/>
    <w:rPr/>
  </w:style>
  <w:style w:styleId="style43" w:type="character">
    <w:name w:val="WW8Num1z0"/>
    <w:next w:val="style43"/>
    <w:rPr>
      <w:rFonts w:ascii="Symbol" w:cs="Symbol" w:hAnsi="Symbol"/>
      <w:sz w:val="20"/>
    </w:rPr>
  </w:style>
  <w:style w:styleId="style44" w:type="character">
    <w:name w:val="WW8Num1z1"/>
    <w:next w:val="style44"/>
    <w:rPr>
      <w:rFonts w:ascii="Courier New" w:cs="Courier New" w:hAnsi="Courier New"/>
      <w:sz w:val="20"/>
    </w:rPr>
  </w:style>
  <w:style w:styleId="style45" w:type="character">
    <w:name w:val="WW8Num1z2"/>
    <w:next w:val="style45"/>
    <w:rPr>
      <w:rFonts w:ascii="Wingdings" w:cs="Wingdings" w:hAnsi="Wingdings"/>
      <w:sz w:val="20"/>
    </w:rPr>
  </w:style>
  <w:style w:styleId="style46" w:type="character">
    <w:name w:val="WW8Num2z1"/>
    <w:next w:val="style46"/>
    <w:rPr>
      <w:rFonts w:ascii="Courier New" w:cs="Courier New" w:hAnsi="Courier New"/>
    </w:rPr>
  </w:style>
  <w:style w:styleId="style47" w:type="character">
    <w:name w:val="WW8Num2z2"/>
    <w:next w:val="style47"/>
    <w:rPr>
      <w:rFonts w:ascii="Wingdings" w:cs="Wingdings" w:hAnsi="Wingdings"/>
    </w:rPr>
  </w:style>
  <w:style w:styleId="style48" w:type="character">
    <w:name w:val="WW8Num3z1"/>
    <w:next w:val="style48"/>
    <w:rPr>
      <w:rFonts w:ascii="Courier New" w:cs="Courier New" w:hAnsi="Courier New"/>
    </w:rPr>
  </w:style>
  <w:style w:styleId="style49" w:type="character">
    <w:name w:val="WW8Num3z2"/>
    <w:next w:val="style49"/>
    <w:rPr>
      <w:rFonts w:ascii="Wingdings" w:cs="Wingdings" w:hAnsi="Wingdings"/>
    </w:rPr>
  </w:style>
  <w:style w:styleId="style50" w:type="character">
    <w:name w:val="WW8Num4z2"/>
    <w:next w:val="style50"/>
    <w:rPr>
      <w:rFonts w:ascii="Wingdings" w:cs="Wingdings" w:hAnsi="Wingdings"/>
    </w:rPr>
  </w:style>
  <w:style w:styleId="style51" w:type="character">
    <w:name w:val="WW8Num7z1"/>
    <w:next w:val="style51"/>
    <w:rPr>
      <w:rFonts w:ascii="Courier New" w:cs="Courier New" w:hAnsi="Courier New"/>
      <w:sz w:val="20"/>
    </w:rPr>
  </w:style>
  <w:style w:styleId="style52" w:type="character">
    <w:name w:val="WW8Num7z2"/>
    <w:next w:val="style52"/>
    <w:rPr>
      <w:rFonts w:ascii="Wingdings" w:cs="Wingdings" w:hAnsi="Wingdings"/>
      <w:sz w:val="20"/>
    </w:rPr>
  </w:style>
  <w:style w:styleId="style53" w:type="character">
    <w:name w:val="WW8Num10z0"/>
    <w:next w:val="style53"/>
    <w:rPr>
      <w:rFonts w:ascii="Symbol" w:cs="Symbol" w:hAnsi="Symbol"/>
    </w:rPr>
  </w:style>
  <w:style w:styleId="style54" w:type="character">
    <w:name w:val="WW8Num10z1"/>
    <w:next w:val="style54"/>
    <w:rPr>
      <w:rFonts w:ascii="Courier New" w:cs="Courier New" w:hAnsi="Courier New"/>
    </w:rPr>
  </w:style>
  <w:style w:styleId="style55" w:type="character">
    <w:name w:val="WW8Num10z2"/>
    <w:next w:val="style55"/>
    <w:rPr>
      <w:rFonts w:ascii="Wingdings" w:cs="Wingdings" w:hAnsi="Wingdings"/>
    </w:rPr>
  </w:style>
  <w:style w:styleId="style56" w:type="character">
    <w:name w:val="Fuente de párrafo predeter.1"/>
    <w:next w:val="style56"/>
    <w:rPr/>
  </w:style>
  <w:style w:styleId="style57" w:type="character">
    <w:name w:val="Muy destacado"/>
    <w:basedOn w:val="style56"/>
    <w:next w:val="style57"/>
    <w:rPr>
      <w:b/>
      <w:bCs/>
    </w:rPr>
  </w:style>
  <w:style w:styleId="style58" w:type="character">
    <w:name w:val=" Car Car"/>
    <w:basedOn w:val="style56"/>
    <w:next w:val="style58"/>
    <w:rPr>
      <w:rFonts w:ascii="Tahoma" w:cs="Tahoma" w:hAnsi="Tahoma"/>
      <w:sz w:val="16"/>
      <w:szCs w:val="16"/>
      <w:lang w:val="es-ES"/>
    </w:rPr>
  </w:style>
  <w:style w:styleId="style59" w:type="character">
    <w:name w:val="Símbolo de nota al pie"/>
    <w:basedOn w:val="style56"/>
    <w:next w:val="style59"/>
    <w:rPr>
      <w:vertAlign w:val="superscript"/>
    </w:rPr>
  </w:style>
  <w:style w:styleId="style60" w:type="character">
    <w:name w:val="Ref. de nota al pie1"/>
    <w:next w:val="style60"/>
    <w:rPr>
      <w:vertAlign w:val="superscript"/>
    </w:rPr>
  </w:style>
  <w:style w:styleId="style61" w:type="character">
    <w:name w:val="Símbolo de nota final"/>
    <w:next w:val="style61"/>
    <w:rPr>
      <w:vertAlign w:val="superscript"/>
    </w:rPr>
  </w:style>
  <w:style w:styleId="style62" w:type="character">
    <w:name w:val="WW-Símbolo de nota final"/>
    <w:next w:val="style62"/>
    <w:rPr/>
  </w:style>
  <w:style w:styleId="style63" w:type="character">
    <w:name w:val="Viñetas"/>
    <w:next w:val="style63"/>
    <w:rPr>
      <w:rFonts w:ascii="OpenSymbol" w:cs="OpenSymbol" w:eastAsia="OpenSymbol" w:hAnsi="OpenSymbol"/>
    </w:rPr>
  </w:style>
  <w:style w:styleId="style64" w:type="character">
    <w:name w:val="Caracteres de nota al pie"/>
    <w:next w:val="style64"/>
    <w:rPr>
      <w:vertAlign w:val="superscript"/>
    </w:rPr>
  </w:style>
  <w:style w:styleId="style65" w:type="character">
    <w:name w:val="Caracteres de nota final"/>
    <w:next w:val="style65"/>
    <w:rPr>
      <w:vertAlign w:val="superscript"/>
    </w:rPr>
  </w:style>
  <w:style w:styleId="style66" w:type="character">
    <w:name w:val="footnote reference"/>
    <w:next w:val="style66"/>
    <w:rPr>
      <w:vertAlign w:val="superscript"/>
    </w:rPr>
  </w:style>
  <w:style w:styleId="style67" w:type="character">
    <w:name w:val="endnote reference"/>
    <w:next w:val="style67"/>
    <w:rPr>
      <w:vertAlign w:val="superscript"/>
    </w:rPr>
  </w:style>
  <w:style w:styleId="style68" w:type="character">
    <w:name w:val="ListLabel 1"/>
    <w:next w:val="style68"/>
    <w:rPr>
      <w:rFonts w:cs="Symbol"/>
    </w:rPr>
  </w:style>
  <w:style w:styleId="style69" w:type="character">
    <w:name w:val="Ancla de nota al pie"/>
    <w:next w:val="style69"/>
    <w:rPr>
      <w:vertAlign w:val="superscript"/>
    </w:rPr>
  </w:style>
  <w:style w:styleId="style70" w:type="character">
    <w:name w:val="Ancla de nota final"/>
    <w:next w:val="style70"/>
    <w:rPr>
      <w:vertAlign w:val="superscript"/>
    </w:rPr>
  </w:style>
  <w:style w:styleId="style71" w:type="paragraph">
    <w:name w:val="Encabezado"/>
    <w:basedOn w:val="style0"/>
    <w:next w:val="style72"/>
    <w:pPr>
      <w:keepNext/>
      <w:spacing w:after="120" w:before="240"/>
      <w:contextualSpacing w:val="false"/>
    </w:pPr>
    <w:rPr>
      <w:rFonts w:ascii="Arial" w:cs="Lohit Hindi" w:eastAsia="Droid Sans Fallback" w:hAnsi="Arial"/>
      <w:sz w:val="28"/>
      <w:szCs w:val="28"/>
    </w:rPr>
  </w:style>
  <w:style w:styleId="style72" w:type="paragraph">
    <w:name w:val="Cuerpo de texto"/>
    <w:basedOn w:val="style0"/>
    <w:next w:val="style72"/>
    <w:pPr>
      <w:spacing w:after="120" w:before="0"/>
      <w:contextualSpacing w:val="false"/>
    </w:pPr>
    <w:rPr/>
  </w:style>
  <w:style w:styleId="style73" w:type="paragraph">
    <w:name w:val="Lista"/>
    <w:basedOn w:val="style72"/>
    <w:next w:val="style73"/>
    <w:pPr/>
    <w:rPr>
      <w:rFonts w:cs="Lohit Hindi"/>
    </w:rPr>
  </w:style>
  <w:style w:styleId="style74" w:type="paragraph">
    <w:name w:val="Etiqueta"/>
    <w:basedOn w:val="style0"/>
    <w:next w:val="style7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75" w:type="paragraph">
    <w:name w:val="Índice"/>
    <w:basedOn w:val="style0"/>
    <w:next w:val="style75"/>
    <w:pPr>
      <w:suppressLineNumbers/>
    </w:pPr>
    <w:rPr>
      <w:rFonts w:cs="Lohit Hindi"/>
    </w:rPr>
  </w:style>
  <w:style w:styleId="style76" w:type="paragraph">
    <w:name w:val="Encabezado2"/>
    <w:basedOn w:val="style0"/>
    <w:next w:val="style76"/>
    <w:pPr>
      <w:keepNext/>
      <w:spacing w:after="120" w:before="240"/>
      <w:contextualSpacing w:val="false"/>
    </w:pPr>
    <w:rPr>
      <w:rFonts w:cs="Lohit Hindi" w:eastAsia="DejaVu Sans"/>
      <w:sz w:val="28"/>
      <w:szCs w:val="28"/>
    </w:rPr>
  </w:style>
  <w:style w:styleId="style77" w:type="paragraph">
    <w:name w:val="caption"/>
    <w:basedOn w:val="style0"/>
    <w:next w:val="style77"/>
    <w:pPr>
      <w:suppressLineNumbers/>
      <w:spacing w:after="120" w:before="120"/>
      <w:contextualSpacing w:val="false"/>
    </w:pPr>
    <w:rPr>
      <w:i/>
      <w:iCs/>
    </w:rPr>
  </w:style>
  <w:style w:styleId="style78" w:type="paragraph">
    <w:name w:val="Encabezado1"/>
    <w:basedOn w:val="style0"/>
    <w:next w:val="style78"/>
    <w:pPr>
      <w:keepNext/>
      <w:spacing w:after="120" w:before="240"/>
      <w:contextualSpacing w:val="false"/>
    </w:pPr>
    <w:rPr>
      <w:rFonts w:cs="DejaVu Sans" w:eastAsia="DejaVu Sans"/>
      <w:sz w:val="28"/>
      <w:szCs w:val="28"/>
    </w:rPr>
  </w:style>
  <w:style w:styleId="style79" w:type="paragraph">
    <w:name w:val="Normal (Web)"/>
    <w:basedOn w:val="style0"/>
    <w:next w:val="style79"/>
    <w:pPr>
      <w:spacing w:after="280" w:before="280"/>
      <w:ind w:hanging="1080" w:left="1080" w:right="0"/>
      <w:contextualSpacing w:val="false"/>
    </w:pPr>
    <w:rPr>
      <w:rFonts w:cs="Arial"/>
      <w:color w:val="000000"/>
      <w:lang w:val="pt-BR"/>
    </w:rPr>
  </w:style>
  <w:style w:styleId="style80" w:type="paragraph">
    <w:name w:val="Título"/>
    <w:basedOn w:val="style0"/>
    <w:next w:val="style80"/>
    <w:pPr>
      <w:jc w:val="center"/>
    </w:pPr>
    <w:rPr>
      <w:rFonts w:ascii="News Gothic MT" w:cs="News Gothic MT" w:hAnsi="News Gothic MT"/>
      <w:b/>
      <w:szCs w:val="20"/>
      <w:lang w:val="es-MX"/>
    </w:rPr>
  </w:style>
  <w:style w:styleId="style81" w:type="paragraph">
    <w:name w:val="Subtítulo"/>
    <w:basedOn w:val="style78"/>
    <w:next w:val="style81"/>
    <w:pPr>
      <w:jc w:val="center"/>
    </w:pPr>
    <w:rPr>
      <w:i/>
      <w:iCs/>
    </w:rPr>
  </w:style>
  <w:style w:styleId="style82" w:type="paragraph">
    <w:name w:val="Balloon Text"/>
    <w:basedOn w:val="style0"/>
    <w:next w:val="style82"/>
    <w:pPr/>
    <w:rPr>
      <w:rFonts w:ascii="Tahoma" w:cs="Tahoma" w:hAnsi="Tahoma"/>
      <w:sz w:val="16"/>
      <w:szCs w:val="16"/>
    </w:rPr>
  </w:style>
  <w:style w:styleId="style83" w:type="paragraph">
    <w:name w:val="footnote text"/>
    <w:basedOn w:val="style0"/>
    <w:next w:val="style83"/>
    <w:pPr/>
    <w:rPr>
      <w:sz w:val="20"/>
      <w:szCs w:val="20"/>
    </w:rPr>
  </w:style>
  <w:style w:styleId="style84" w:type="paragraph">
    <w:name w:val="Contenido de la tabla"/>
    <w:basedOn w:val="style0"/>
    <w:next w:val="style84"/>
    <w:pPr>
      <w:suppressLineNumbers/>
    </w:pPr>
    <w:rPr/>
  </w:style>
  <w:style w:styleId="style85" w:type="paragraph">
    <w:name w:val="Encabezado de la tabla"/>
    <w:basedOn w:val="style84"/>
    <w:next w:val="style85"/>
    <w:pPr>
      <w:jc w:val="center"/>
    </w:pPr>
    <w:rPr>
      <w:b/>
      <w:bCs/>
    </w:rPr>
  </w:style>
  <w:style w:styleId="style86" w:type="paragraph">
    <w:name w:val="Nota al pie"/>
    <w:basedOn w:val="style0"/>
    <w:next w:val="style8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2015-02-23T16:36:00Z</dcterms:created>
  <dc:creator>Fornaro-Díaz</dc:creator>
  <cp:lastModifiedBy>Usuario</cp:lastModifiedBy>
  <cp:lastPrinted>2008-09-30T15:24:00Z</cp:lastPrinted>
  <dcterms:modified xsi:type="dcterms:W3CDTF">2015-02-23T17:50:00Z</dcterms:modified>
  <cp:revision>6</cp:revision>
  <dc:title>Comisión Sectorial de Educación Permanente</dc:title>
</cp:coreProperties>
</file>